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BC17" w14:textId="52952CEA" w:rsidR="00C962DC" w:rsidRPr="00C962DC" w:rsidRDefault="000109A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</w:pPr>
      <w:r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 xml:space="preserve">Le opere di Maurizio Bonfanti a Romano di Lombardia </w:t>
      </w:r>
    </w:p>
    <w:p w14:paraId="4FFDEB02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</w:pPr>
    </w:p>
    <w:p w14:paraId="09485CAD" w14:textId="22FC2D6B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>Si inaugurerà sabato 25 maggio 2024 – presso la Basilica di San Defendente a</w:t>
      </w:r>
      <w:r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>Romano di</w:t>
      </w:r>
      <w:r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>Lombardia – la seconda tappa della mostra dedicata a Maurizio</w:t>
      </w:r>
      <w:r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>Bonfanti, talentuoso artista bergamasco.</w:t>
      </w:r>
    </w:p>
    <w:p w14:paraId="1375B31A" w14:textId="28E25022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>Nell’occasione, Fondazione Creberg offrirà al pubblico uno straordinario concerto</w:t>
      </w:r>
      <w:r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>di</w:t>
      </w:r>
      <w:r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 xml:space="preserve">“Ensemble Locatelli” dal titolo “MONTEVERDI: GUERRA &amp; PACE” </w:t>
      </w:r>
      <w:r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>–</w:t>
      </w:r>
      <w:r w:rsidRPr="00C962DC"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 xml:space="preserve"> Musiche</w:t>
      </w:r>
      <w:r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>di Claudio Monteverdi e Bernardo Pasquini.</w:t>
      </w:r>
    </w:p>
    <w:p w14:paraId="06DB4304" w14:textId="73363996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>L’esposizione, curata da Angelo Piazzoli e Tarcisio Tironi, resterà aperta fino al 28</w:t>
      </w:r>
      <w:r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>luglio 2024 e sarà allestita nella Chiesa della Grotta, adiacente alla Basilica di San</w:t>
      </w:r>
      <w:r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>Defendente.</w:t>
      </w:r>
    </w:p>
    <w:p w14:paraId="36A03A25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kern w:val="0"/>
          <w:sz w:val="22"/>
          <w:szCs w:val="22"/>
          <w:lang w:val="it-IT"/>
        </w:rPr>
      </w:pPr>
    </w:p>
    <w:p w14:paraId="36FC06B8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Nell’ambito della storica collaborazione con il Museo d’Arte e Cultura Sacra di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Romano di Lombardia, Fondazione Creberg presenta al pubblico l’esposizione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Passio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– Opere di Maurizio Bonfanti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curata da Angelo Piazzoli e Tarcisio Tironi.</w:t>
      </w:r>
    </w:p>
    <w:p w14:paraId="30A42AB8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</w:p>
    <w:p w14:paraId="21612DF5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Dopo il successo conseguito a Palazzo Creberg con un allestimento ripartito tra Salone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Principale e Loggiato – che ha raccolto l’apprezzamento di diverse migliaia di visitatori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– la mostra giunge a Romano di Lombardia, con una collocazione emozionante, nella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suggestiva Chiesa della Grotta ad essa interamente dedicata.</w:t>
      </w:r>
    </w:p>
    <w:p w14:paraId="1B6B0D9D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</w:p>
    <w:p w14:paraId="41CC0033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La mostra verrà inaugurata, nella contigua Basilica di San Defendente, il 25 maggio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2024 alle ore 16.30, con una presentazione, alla quale seguirà il concerto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“</w:t>
      </w:r>
      <w:r w:rsidRPr="00C962DC">
        <w:rPr>
          <w:rFonts w:cs="Helvetica"/>
          <w:color w:val="000000"/>
          <w:kern w:val="0"/>
          <w:sz w:val="22"/>
          <w:szCs w:val="22"/>
          <w:lang w:val="it-IT"/>
        </w:rPr>
        <w:t>MONTEVERDI: GUERRA &amp; PACE”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 offerto da Fondazione Creberg e curato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dall’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Ensemble Locatelli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 – talentuoso sodalizio, a cui da anni Fondazione Creberg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assicura sostegno e supporto – con la direzione dal Maestro Thomas </w:t>
      </w:r>
      <w:proofErr w:type="spellStart"/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Chigioni</w:t>
      </w:r>
      <w:proofErr w:type="spellEnd"/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.</w:t>
      </w:r>
    </w:p>
    <w:p w14:paraId="5B2C0116" w14:textId="4A308CAD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L’evento inaugurale avrà una durata complessiva di 60 minuti.</w:t>
      </w:r>
    </w:p>
    <w:p w14:paraId="3142FA2A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</w:p>
    <w:p w14:paraId="7AAF2592" w14:textId="4449E561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L’esposizione “Passio – Opere di Maurizio Bonfanti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”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 rimarrà aperta al pubblico dal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25 maggio al 28 luglio 2024, con accesso libero e gratuito, presso la Chiesa della Grotta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a Romano di Lombardia, nei giorni di sabato, domenica e festivi (dalle ore 9.00 alle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ore 12.00 e dalle ore 16.00 alle 18.30).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A tutti i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v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isitatori verrà consegnato, come sempre gratuitamente, il catalogo edito dalla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Fondazione Credito Bergamasco. La mostra proseguirà in autunno a Grumello del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Monte.</w:t>
      </w:r>
    </w:p>
    <w:p w14:paraId="0E42F87D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</w:pPr>
    </w:p>
    <w:p w14:paraId="2C4138D8" w14:textId="61F1A48F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>Il Concerto Inaugurale - “Monteverdi. Guerra e Pace”</w:t>
      </w:r>
    </w:p>
    <w:p w14:paraId="0EC01214" w14:textId="2EEC1A21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Il concerto, promosso da Fondazione Creberg con musiche di Monteverdi e Pasquini,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sarà tenuto da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ENSEMBLE LOCATELLI ed ENSEMBLE VOCALE LOCATELLI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con la seguente compagine:</w:t>
      </w:r>
    </w:p>
    <w:p w14:paraId="6D578698" w14:textId="62ED6521" w:rsidR="00C962DC" w:rsidRPr="00C962DC" w:rsidRDefault="00C962DC" w:rsidP="00C962DC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Thomas </w:t>
      </w:r>
      <w:proofErr w:type="spellStart"/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Chigioni</w:t>
      </w:r>
      <w:proofErr w:type="spellEnd"/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, clavicembalo e direzione</w:t>
      </w:r>
    </w:p>
    <w:p w14:paraId="5E72D03F" w14:textId="4B0DB88C" w:rsidR="00C962DC" w:rsidRPr="00C962DC" w:rsidRDefault="00C962DC" w:rsidP="00C962DC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Ensemble Vocale Locatelli: Maddalena De Biasi (soprano), Margherita Maria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Sala (contralto),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Beniamino Borciani (tenore), Santiago Garzon Arredondo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(baritono)</w:t>
      </w:r>
    </w:p>
    <w:p w14:paraId="48F0DA8E" w14:textId="1C358BAA" w:rsidR="00C962DC" w:rsidRPr="00C962DC" w:rsidRDefault="00C962DC" w:rsidP="00C962DC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Ensemble Locatelli: </w:t>
      </w:r>
      <w:proofErr w:type="spellStart"/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Jérémie</w:t>
      </w:r>
      <w:proofErr w:type="spellEnd"/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proofErr w:type="spellStart"/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Chigioni</w:t>
      </w:r>
      <w:proofErr w:type="spellEnd"/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, Raffaele Nicoletti (violini), Alessandro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Arnoldi (viola),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br/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Leonardo Gatti (violoncello), Carlo Sgarro (contrabbasso),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191919"/>
          <w:kern w:val="0"/>
          <w:sz w:val="22"/>
          <w:szCs w:val="22"/>
          <w:lang w:val="it-IT"/>
        </w:rPr>
        <w:t xml:space="preserve">Mauro </w:t>
      </w:r>
      <w:proofErr w:type="spellStart"/>
      <w:r w:rsidRPr="00C962DC">
        <w:rPr>
          <w:rFonts w:cs="Times New Roman"/>
          <w:i/>
          <w:iCs/>
          <w:color w:val="191919"/>
          <w:kern w:val="0"/>
          <w:sz w:val="22"/>
          <w:szCs w:val="22"/>
          <w:lang w:val="it-IT"/>
        </w:rPr>
        <w:t>Pinciaroli</w:t>
      </w:r>
      <w:proofErr w:type="spellEnd"/>
      <w:r w:rsidRPr="00C962DC">
        <w:rPr>
          <w:rFonts w:cs="Times New Roman"/>
          <w:i/>
          <w:iCs/>
          <w:color w:val="191919"/>
          <w:kern w:val="0"/>
          <w:sz w:val="22"/>
          <w:szCs w:val="22"/>
          <w:lang w:val="it-IT"/>
        </w:rPr>
        <w:t xml:space="preserve"> (tiorba).</w:t>
      </w:r>
    </w:p>
    <w:p w14:paraId="46F051A6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</w:p>
    <w:p w14:paraId="5AFD44AA" w14:textId="2003A57C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Verrà eseguito il seguente programma</w:t>
      </w:r>
    </w:p>
    <w:p w14:paraId="649E481C" w14:textId="77777777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</w:p>
    <w:p w14:paraId="414007BF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>Claudio Monteverdi (1567-1643)</w:t>
      </w:r>
    </w:p>
    <w:p w14:paraId="746C85D9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</w:pPr>
    </w:p>
    <w:p w14:paraId="0CB1F73A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Toccata, Prologo, Rosa del Ciel, Vi ricorda o boschi ombrosi da “Orfeo”, SV 163</w:t>
      </w:r>
    </w:p>
    <w:p w14:paraId="1E1CD555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Gira il nemico insidioso da “Ottavo libro di Madrigali Guerrieri et Amorosi”, SV 163</w:t>
      </w:r>
    </w:p>
    <w:p w14:paraId="6FC3C4F2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Lamento della Ninfa da “Ottavo libro di Madrigali Guerrieri et Amorosi”, SV 163</w:t>
      </w:r>
    </w:p>
    <w:p w14:paraId="7FEFF04A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lastRenderedPageBreak/>
        <w:t>Sinfonia avanti il Prologo da Il ritorno di Ulisse in patria, SV 325</w:t>
      </w:r>
    </w:p>
    <w:p w14:paraId="65E6967E" w14:textId="2FC2123D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Il combattimento di Tancredi e Clorinda da “Ottavo libro di Madrigali Guerrieri et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Amorosi”, SV 153</w:t>
      </w:r>
    </w:p>
    <w:p w14:paraId="6768BC33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</w:pPr>
    </w:p>
    <w:p w14:paraId="5A285DCD" w14:textId="434273FE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>Bernardo Pasquini (1637-1710)</w:t>
      </w:r>
    </w:p>
    <w:p w14:paraId="59A36F3E" w14:textId="77777777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Sinfonia dall’oratorio “I fatti di Mosè nel deserto”</w:t>
      </w:r>
    </w:p>
    <w:p w14:paraId="48223D76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</w:p>
    <w:p w14:paraId="175B559B" w14:textId="21E99BF5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Oltre ad intitolare il celebre romanzo di Tolstoj,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Guerra e Pace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 è il titolo di un concerto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strettamente legato a temi dell’attualità.</w:t>
      </w:r>
    </w:p>
    <w:p w14:paraId="781C79BD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</w:p>
    <w:p w14:paraId="56BC953E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«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Non passa giorno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 – evidenzia Thomas </w:t>
      </w:r>
      <w:proofErr w:type="spellStart"/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Chigioni</w:t>
      </w:r>
      <w:proofErr w:type="spellEnd"/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, Direttore di “Ensemble Locatelli” –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senza che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giornali e telegiornali non riportino notizie di conflitti che si combattono in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tutto il mondo. L’estrema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concretezza su questi temi contemporanei si discosta dagli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spunti che questi offrivano nel passato.</w:t>
      </w:r>
    </w:p>
    <w:p w14:paraId="18D624C2" w14:textId="0FE917B0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Nel periodo barocco, infatti, Guerra e </w:t>
      </w:r>
      <w:proofErr w:type="spellStart"/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Paceerano</w:t>
      </w:r>
      <w:proofErr w:type="spellEnd"/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anche allegorie per l’Amore. Il corteggiamento e il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languire amoroso erano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infatti paragonati alla crudezza dei combattimenti, che trovava Pace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solamente nella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reciprocità del sentimento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».</w:t>
      </w:r>
    </w:p>
    <w:p w14:paraId="029A449F" w14:textId="77777777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</w:p>
    <w:p w14:paraId="4414BC93" w14:textId="6BD092EC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«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Il capolavoro più esemplificativo di questa sottile e raffinata ambivalenza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 – prosegue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il Direttore </w:t>
      </w:r>
      <w:proofErr w:type="spellStart"/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Chigioni</w:t>
      </w:r>
      <w:proofErr w:type="spellEnd"/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 –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risiede nel celeberrimo “Combattimento di Tancredi e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Clorinda”, che proprio nel 2024 compie 400 anni, del più grande compositore del ‘600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italiano: Claudio Monteverdi. Composto sul testo di Torquato Tasso contenuto nella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Gerusalemme Liberata (opera indissolubilmente legata alla nostra Bergamo), questo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madrigale rappresentativo descrive il duello che pone di fronte i due eroi del mondo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musulmano e cristiano, segretamente amanti, ma disposti a darsi la morte sul campo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di battaglia. Il dualismo Oriente-Occidente, Uomo-Donna, Amore-Morte viene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esplorato nelle sue più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ampie sfaccettature e offre uno spunto per alcuni dei capolavori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massimi del Seicento Italiano.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Questi poli opposti fanno parte della nostra storia.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L’eterna commistione musicale tra Guerra e Pace trova in Monteverdi il suo punto più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alto e, a completamento del programma, vengono proposti i più celebri madrigali del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genio cremonese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».</w:t>
      </w:r>
    </w:p>
    <w:p w14:paraId="35ADC6F2" w14:textId="77777777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</w:p>
    <w:p w14:paraId="6A9338B4" w14:textId="77777777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b/>
          <w:bCs/>
          <w:i/>
          <w:iCs/>
          <w:color w:val="000000"/>
          <w:kern w:val="0"/>
          <w:sz w:val="22"/>
          <w:szCs w:val="22"/>
          <w:lang w:val="it-IT"/>
        </w:rPr>
        <w:t>La Mostra “Passio” con opere di Maurizio Bonfanti</w:t>
      </w:r>
    </w:p>
    <w:p w14:paraId="6C575EB9" w14:textId="0B4591C6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«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Quando nel settembre 2022, proposi a Bonfanti una nuova collaborazione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– spiega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Angelo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Piazzoli, Presidente della Fondazione Credito Bergamasco –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mai avrei pensato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che la mia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suggestione lo avrebbe indotto ad affrontare un impegno di così rilevante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spessore umano e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artistico: il rivedere, adeguandola alle nuove urgenze dello spirito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e alla evoluzione della sua tecnica, la raccolta Passio, realizzata tra il 2005 e il 2006,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al tempo esposta in ambiti di assoluto 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prestigio, ora allocata presso il Seminario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Vescovile di Bergamo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».</w:t>
      </w:r>
    </w:p>
    <w:p w14:paraId="2AC4E6BF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</w:p>
    <w:p w14:paraId="6F838369" w14:textId="781991FA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“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Passio parte seconda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”. Così potrebbero essere definite le otto monumentali tele e gli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otto bozzetti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preparatori realizzati nel 2023 da Maurizio Bonfanti. «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L’intero ciclo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 –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evidenzia l’artista –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ripete in sequenza gli stessi soggetti che realizzai nel 2005. Dopo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aver completato il polittico di Marne, avevo allora in progetto di dipingere la Passione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di Cristo, escludendo il percorso tradizionale della Via Crucis e chiesi a don Sergio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Colombo, che da tempo seguiva con infinita discrezione il mio lavoro in studio,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l’indicazione di una sequenza possibile. Mi suggerì sette “stazioni” (L’ultima Cena, Il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Getsemani, Il Processo, L‘abbraccio alla croce, Il Golgota, la Deposizione e il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Sepolcro). Ci aggiunsi la figura di Giuda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».</w:t>
      </w:r>
    </w:p>
    <w:p w14:paraId="514FF86A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</w:p>
    <w:p w14:paraId="7E5C1B4F" w14:textId="4A10CDCF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«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Completai le tele nel 2006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 – prosegue Bonfanti –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tenendo una misura canonica per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l’intero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progetto (90 x 140 cm). Vennero presentate nell’abbazia di San Paolo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d’Argon, in coincidenza con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un convegno di pastorale liturgica della Chiesa di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Bergamo. Nel 2007 furono esposte in una mostra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lastRenderedPageBreak/>
        <w:t>nello Spazio Pisanello a Verona a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cura della Fondazione Toniolo che realizzò il catalogo; il testo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–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che analizzava con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compiutezza critica il tema della Passio raccontata negli otto quadri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–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fu scritto da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don Massimo Maffioletti. Il progetto venne portato a termine seguendo una modalità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narrativa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che, come scrisse Maffioletti, “non è per nulla consegnato alla devozione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popolare, ma è il luogo dove si raggrumano gli interrogativi cruciali dell’esistenza”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».</w:t>
      </w:r>
    </w:p>
    <w:p w14:paraId="56AC55D0" w14:textId="77777777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</w:pPr>
    </w:p>
    <w:p w14:paraId="4FF6C8E0" w14:textId="5D856396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«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La connotazione che Maurizio Bonfanti ha dato all’iniziativa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– sottolinea Angelo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Piazzoli –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si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innesta perfettamente nel nostro progetto di valorizzazione dell’arte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contemporanea, inteso a dare spazio e visibilità all’opera di artisti talentuosi del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territorio, attraverso uno storico format che coniuga qualità artistica e promozione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del pensiero; da questi intendimenti, nascono esposizioni, antagoniste alla banalità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che ci circonda, volte ad approfondire temi fondamentali per l’uomo, quali il suo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destino, la sua natura, la sua vocazione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».</w:t>
      </w:r>
    </w:p>
    <w:p w14:paraId="7EA55A98" w14:textId="77777777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</w:p>
    <w:p w14:paraId="5DE25061" w14:textId="56124C02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«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La nostra Fondazione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– conclude il Presidente di Fondazione Creberg –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non ha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finalità economiche e non ci interessano i vernissage frequentati da influencer, fondati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su effetti speciali “acchiappa selfie”; nemmeno amiamo il vuoto pneumatico di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contenuti e di valori insito in molte scintillati, ma superficiali, iniziative à la page. Le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nostre mostre itineranti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–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oltre un centinaio gli interventi promossi e realizzati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direttamente nell’ultimo decennio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–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intendono essere connotate da arte, vita, pensiero,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riflessione. Per questo è necessario ci sia un "idem sentire" con l’artista prescelto: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arte intesa come etica ed estetica, dedita ad approfondire i misteri esistenziali della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vita e della morte, del tempo che fugge, del Creato che stiamo distruggendo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».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Esemplari in tal senso le parole dell’artista: «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Trovare momenti di riflessione legati ai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temi delle fede e dare loro forma visiva avendo alle spalle un patrimonio iconografico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immenso e straordinario, significa prendere atto dei propri limiti e avere chiaro il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grado di fallimento che il confronto con le grandi narrazioni pittoriche ci consegna;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questa consapevolezza non può però allontanarci dalle domande che da sempre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l’uomo è costretto, suo malgrado, ad affrontare e che la vicenda della Passione di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Cristo ci restituisce senza possibili uscite di sicurezza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».</w:t>
      </w:r>
    </w:p>
    <w:p w14:paraId="30A77C94" w14:textId="77777777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</w:pPr>
    </w:p>
    <w:p w14:paraId="65050BC5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Gli spunti che la mostra offre alla meditazione e alla riflessione sono molteplici.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In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primis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, perché riprendere a distanza di 18 anni gli stessi temi, affrontando con misure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diverse e più ampie la stesura degli otto dipinti? In punto, Maurizio Bonfanti evidenzia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che «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ripercorrere gli stessi itinerari, mantenere inalterato il filo rosso che lega l’intera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vicenda di un uomo che si consegna alla croce, ha significato per me guardare da </w:t>
      </w:r>
      <w:proofErr w:type="spellStart"/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undiverso</w:t>
      </w:r>
      <w:proofErr w:type="spellEnd"/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angolo visuale il dramma della Passione, per trovare, sul piano espressivo e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formale, nuovi segni generatori, capaci però di restituirmi frammenti di inatteso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stupore. È solo questa la ragione che ha determinato questo mio nuovo impegno,</w:t>
      </w:r>
      <w:r w:rsidRPr="00C962DC">
        <w:rPr>
          <w:rFonts w:cs="Times New Roman"/>
          <w:i/>
          <w:iCs/>
          <w:color w:val="E6000E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che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.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trova motivazione e senso in un lavoro che per la sua paradossale “inutilità” sembra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essere così estraneo e lontano dalle logiche produttive della nostra contemporaneità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».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</w:p>
    <w:p w14:paraId="03D4C044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</w:pPr>
    </w:p>
    <w:p w14:paraId="5B98005F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Dalla vita e dalla Scrittura, Maurizio Bonfanti trae i temi che si fanno tappe meditative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di un percorso di vita, morte e risurrezione, narrato in maniera essenziale, secondo il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Vangelo. Mons.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Tarcisio Tironi rimarca che siamo in presenza di un percorso che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«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s’apre con un convivio di commiato, prosegue nella notte di Cristo, non voluta ma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accettata, per poi coinvolgerci nel processo e nel tentativo di comprendere, con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dolcezza, la storia di Giuda. In seguito, è l’abbraccio della croce che ci provoca e, alla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conclusione del drammatico percorso al Calvario, non si placa il silenzio del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Crocifisso neppure quando la terra con soavità di crepuscolo, accoglie l’uomo morto.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Guardando il sepolcro vuoto, la Vita riprende nella verità più profonda, portando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speranza e pace come in una giornata piena di luce, dove il sole non tramonta mai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».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</w:p>
    <w:p w14:paraId="1F1103E4" w14:textId="77777777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</w:pPr>
    </w:p>
    <w:p w14:paraId="2318ADB6" w14:textId="7779A584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lastRenderedPageBreak/>
        <w:t>«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Il cammino costruito dalla creatività di Bonfanti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– conclude mons. Tironi –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si è fatto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Via </w:t>
      </w:r>
      <w:proofErr w:type="spellStart"/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Vitæ</w:t>
      </w:r>
      <w:proofErr w:type="spellEnd"/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attraverso opere elaborate con amore, narranti di un Dio che ama abitare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negli abissi degli uomini e delle donne. Chi si regala il tempo di contemplare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l’itinerario di alto profilo proposto, avrà modo di incontrare quel Martire che, nella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dedizione completa di un uomo e di un Dio a tutte le persone, sconvolge e inquieta.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Per questo nella Passione di Cristo si coglie frequentemente l’energia e la fiducia per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vincere qualsiasi tipo di oppressione che pretende di contrastare il vivere con dignità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».</w:t>
      </w:r>
    </w:p>
    <w:p w14:paraId="0B892A82" w14:textId="77777777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</w:pPr>
    </w:p>
    <w:p w14:paraId="09BC42DE" w14:textId="21D4C590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Nell’intenso saggio a catalogo, mons. Alberto Carrara sottolinea come questa Passio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non si possa definire come la storia delle sofferenze, della morte e della risurrezione di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Gesù di Nazaret: «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La Passio di Maurizio Bonfanti non è una Via Crucis. Le otto scene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sono, in realtà, strazianti messe in scena di dolori umani. Il rapporto fra questi dolori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e il dolore del grande Sofferente è soltanto sommessamente suggerito. L'artista allude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ad alcuni elementi della iconografia tradizionale che permettono di pensare alla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Passione di Gesù e del Calvario. L'osservatore moderno viene messo in situazione di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ricordare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“quella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”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storia, grazie ad alcune delle immagini che vede, grazie ai nomi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con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i quali le immagini sono designate. Rispetto a una Passione tradizionale qui non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si gode della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facilità di un collegamento tra una scena e l'altra sulla base di momenti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continuati di una storia. Le stesse figure umane presenti sono un elemento esile di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raccordo. Gli elementi di riconoscimento che permettono di legare il protagonista di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una scena con quello delle altre sono pochi e di incerta decifrazione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».</w:t>
      </w:r>
    </w:p>
    <w:p w14:paraId="2D5812AD" w14:textId="77777777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</w:p>
    <w:p w14:paraId="12D986F7" w14:textId="6B8E3840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«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Non è fuori luogo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 – prosegue mons. Carrara –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vedere in questa straordinaria Passio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una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drammatica e varia passione dell'uomo. Di conseguenza, il godimento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drammatico ed emozionante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delle otto immagini della Passione è necessariamente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anche l'appello alla libertà dell'osservatore che guarda e che è invitato al lavoro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intenso della memoria. La memoria che scorre da una scena all'altra, anzitutto: le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immagini sono una narrazione esile, un seguito di eventi unificabili solo con lo sforzo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generoso di chi guarda. E poi una memoria che si potrebbe chiamare del cuore che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"mette insieme" le diverse scene con il racconto esemplare del testo evangelico.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L'artista non offre molti appigli previ per operare queste diverse forme di unificazione.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Diventa necessario che sia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l'osservatore a farlo. Questa Passio è anche l'appello alla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fatica della libertà e allo sforzo dell’empatia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».</w:t>
      </w:r>
    </w:p>
    <w:p w14:paraId="0ABDCCF0" w14:textId="77777777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</w:pPr>
    </w:p>
    <w:p w14:paraId="205AFBF4" w14:textId="27123671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Non vi è alcun dubbio circa la piena contemporaneità di questa Passio così vicina a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noi.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«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Maurizio Bonfanti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 – conclude mons. Carrara –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ci mette di fronte alle interminabili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Passio dell'uomo. E così ci diventa possibile passare dalle nostre Passio alla sua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Passio e vivere queste Passio pensando a quella. Per lo stesso motivo sentiamo di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dover dire che la Passio di Maurizio Bonfanti è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"contemporanea". Ci appartiene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perché scarnifica con le sue immagini le sofferenze degli uomini d'oggi. E, a molti di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noi, aiuta a non dimenticare la carne scarnificata dell'uomo del Golgota: lui così</w:t>
      </w:r>
      <w:r>
        <w:rPr>
          <w:rFonts w:cs="Times New Roman"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simile a noi e noi così simili a lui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».</w:t>
      </w:r>
    </w:p>
    <w:p w14:paraId="46D8AD29" w14:textId="77777777" w:rsidR="00C962DC" w:rsidRP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</w:p>
    <w:p w14:paraId="7F77C20D" w14:textId="0D84DDD6" w:rsidR="00C962DC" w:rsidRDefault="00C962D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«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Le opere colte, profonde, dense di suggestioni sul piano del pensiero e dello spirito,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che Maurizio Bonfanti ci presenta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 xml:space="preserve"> – conclude Piazzoli –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inducono all’introspezione; il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nostro auspicio è che, fermandoci ad osservare i teleri che l’artista ha realizzato ad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hoc, riusciamo a trovare un momento di pausa dagli affanni quotidiani in un momento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storico così drammatico e complicato. L’arte di Bonfanti – che ci parla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sommessamente, in modo intelligente e mai banale – può essere una bella opportunità</w:t>
      </w:r>
      <w:r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 xml:space="preserve"> </w:t>
      </w:r>
      <w:r w:rsidRPr="00C962DC"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  <w:t>intellettuale e spirituale, un intervallo di riflessione contemplando Bellezza</w:t>
      </w:r>
      <w:r w:rsidRPr="00C962DC">
        <w:rPr>
          <w:rFonts w:cs="Times New Roman"/>
          <w:color w:val="000000"/>
          <w:kern w:val="0"/>
          <w:sz w:val="22"/>
          <w:szCs w:val="22"/>
          <w:lang w:val="it-IT"/>
        </w:rPr>
        <w:t>».</w:t>
      </w:r>
    </w:p>
    <w:p w14:paraId="7599EDC2" w14:textId="77777777" w:rsidR="000109AC" w:rsidRDefault="000109A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</w:p>
    <w:p w14:paraId="05991C42" w14:textId="77777777" w:rsidR="000109AC" w:rsidRDefault="000109A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</w:p>
    <w:p w14:paraId="1D9D81F7" w14:textId="77777777" w:rsidR="000109AC" w:rsidRDefault="000109A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kern w:val="0"/>
          <w:sz w:val="22"/>
          <w:szCs w:val="22"/>
          <w:lang w:val="it-IT"/>
        </w:rPr>
      </w:pPr>
    </w:p>
    <w:p w14:paraId="4D94548B" w14:textId="0D4EDF1D" w:rsidR="000109AC" w:rsidRPr="00C962DC" w:rsidRDefault="000109AC" w:rsidP="00C96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kern w:val="0"/>
          <w:sz w:val="22"/>
          <w:szCs w:val="22"/>
          <w:lang w:val="it-IT"/>
        </w:rPr>
      </w:pPr>
    </w:p>
    <w:sectPr w:rsidR="000109AC" w:rsidRPr="00C9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504E4"/>
    <w:multiLevelType w:val="hybridMultilevel"/>
    <w:tmpl w:val="75AA8C14"/>
    <w:lvl w:ilvl="0" w:tplc="5F18876A">
      <w:numFmt w:val="bullet"/>
      <w:lvlText w:val="-"/>
      <w:lvlJc w:val="left"/>
      <w:pPr>
        <w:ind w:left="720" w:hanging="360"/>
      </w:pPr>
      <w:rPr>
        <w:rFonts w:ascii="Aptos" w:eastAsiaTheme="minorHAns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C1F9F"/>
    <w:multiLevelType w:val="hybridMultilevel"/>
    <w:tmpl w:val="81E6CF36"/>
    <w:lvl w:ilvl="0" w:tplc="F098A222">
      <w:numFmt w:val="bullet"/>
      <w:lvlText w:val="-"/>
      <w:lvlJc w:val="left"/>
      <w:pPr>
        <w:ind w:left="720" w:hanging="360"/>
      </w:pPr>
      <w:rPr>
        <w:rFonts w:ascii="Aptos" w:eastAsiaTheme="minorHAnsi" w:hAnsi="Aptos" w:cs="Helvetica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188540">
    <w:abstractNumId w:val="1"/>
  </w:num>
  <w:num w:numId="2" w16cid:durableId="162171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DC"/>
    <w:rsid w:val="000109AC"/>
    <w:rsid w:val="003F026D"/>
    <w:rsid w:val="0054115D"/>
    <w:rsid w:val="008B7B21"/>
    <w:rsid w:val="00C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344B3D"/>
  <w15:chartTrackingRefBased/>
  <w15:docId w15:val="{4F4CE86B-3336-924A-97F1-7A2A4396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2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2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2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2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2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2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2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2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2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2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2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2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SALVALALIO</dc:creator>
  <cp:keywords/>
  <dc:description/>
  <cp:lastModifiedBy>GIULIA SALVALALIO</cp:lastModifiedBy>
  <cp:revision>1</cp:revision>
  <dcterms:created xsi:type="dcterms:W3CDTF">2024-05-21T14:55:00Z</dcterms:created>
  <dcterms:modified xsi:type="dcterms:W3CDTF">2024-05-21T15:50:00Z</dcterms:modified>
</cp:coreProperties>
</file>