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322" w:line="240" w:lineRule="auto"/>
        <w:jc w:val="center"/>
        <w:rPr>
          <w:rFonts w:ascii="Times Roman" w:cs="Times Roman" w:hAnsi="Times Roman" w:eastAsia="Times Roman"/>
          <w:b w:val="1"/>
          <w:bCs w:val="1"/>
          <w:sz w:val="44"/>
          <w:szCs w:val="44"/>
        </w:rPr>
      </w:pPr>
      <w:r>
        <w:rPr>
          <w:rFonts w:ascii="Times Roman" w:hAnsi="Times Roman"/>
          <w:b w:val="1"/>
          <w:bCs w:val="1"/>
          <w:sz w:val="44"/>
          <w:szCs w:val="44"/>
          <w:rtl w:val="0"/>
          <w:lang w:val="it-IT"/>
        </w:rPr>
        <w:t>C</w:t>
      </w:r>
      <w:r>
        <w:rPr>
          <w:rFonts w:ascii="Times Roman" w:hAnsi="Times Roman"/>
          <w:b w:val="1"/>
          <w:bCs w:val="1"/>
          <w:sz w:val="44"/>
          <w:szCs w:val="44"/>
          <w:rtl w:val="0"/>
          <w:lang w:val="es-ES_tradnl"/>
        </w:rPr>
        <w:t>OMUNICATO STAMPA</w:t>
      </w:r>
    </w:p>
    <w:p>
      <w:pPr>
        <w:pStyle w:val="Di default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  <w:sz w:val="40"/>
          <w:szCs w:val="40"/>
        </w:rPr>
      </w:pPr>
      <w:r>
        <w:rPr>
          <w:rFonts w:ascii="Times Roman" w:hAnsi="Times Roman"/>
          <w:b w:val="1"/>
          <w:bCs w:val="1"/>
          <w:sz w:val="40"/>
          <w:szCs w:val="40"/>
          <w:rtl w:val="0"/>
          <w:lang w:val="it-IT"/>
        </w:rPr>
        <w:t xml:space="preserve">La pietra del Vesuvio diventa scultura. Antonio Carotenuto in mostra a Villa Campolieto con </w:t>
      </w:r>
      <w:r>
        <w:rPr>
          <w:rFonts w:ascii="Times Roman" w:hAnsi="Times Roman"/>
          <w:b w:val="1"/>
          <w:bCs w:val="1"/>
          <w:i w:val="1"/>
          <w:iCs w:val="1"/>
          <w:sz w:val="40"/>
          <w:szCs w:val="40"/>
          <w:rtl w:val="0"/>
          <w:lang w:val="it-IT"/>
        </w:rPr>
        <w:t>Pietra Viva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Ercolano, aprile 2026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 – 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La lava del Vesuvio diventa arte contemporanea. 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È </w:t>
      </w:r>
      <w:r>
        <w:rPr>
          <w:rFonts w:ascii="Times Roman" w:hAnsi="Times Roman"/>
          <w:sz w:val="36"/>
          <w:szCs w:val="36"/>
          <w:rtl w:val="0"/>
          <w:lang w:val="it-IT"/>
        </w:rPr>
        <w:t>questa 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idea da cui nasce 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>‘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Pietra Viva. Memoria e identit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del Vesuvio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, la mostra personale dello scultore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Antonio Carotenuto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 che dall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11 aprile al 18 luglio 2026</w:t>
      </w:r>
      <w:r>
        <w:rPr>
          <w:rFonts w:ascii="Times Roman" w:hAnsi="Times Roman"/>
          <w:sz w:val="36"/>
          <w:szCs w:val="36"/>
          <w:rtl w:val="0"/>
          <w:lang w:val="es-ES_tradnl"/>
        </w:rPr>
        <w:t xml:space="preserve"> porter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à 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nelle sale del piano nobile di Villa Campolieto circa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quaranta opere tra scultura e pittura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, realizzate principalmente in pietra lavica. 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  <w:u w:val="single"/>
        </w:rPr>
      </w:pPr>
      <w:r>
        <w:rPr>
          <w:rFonts w:ascii="Times Roman" w:hAnsi="Times Roman"/>
          <w:b w:val="1"/>
          <w:bCs w:val="1"/>
          <w:sz w:val="36"/>
          <w:szCs w:val="36"/>
          <w:u w:val="single"/>
          <w:rtl w:val="0"/>
          <w:lang w:val="it-IT"/>
        </w:rPr>
        <w:t>La mostra aprir</w:t>
      </w:r>
      <w:r>
        <w:rPr>
          <w:rFonts w:ascii="Times Roman" w:hAnsi="Times Roman" w:hint="default"/>
          <w:b w:val="1"/>
          <w:bCs w:val="1"/>
          <w:sz w:val="36"/>
          <w:szCs w:val="36"/>
          <w:u w:val="single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sz w:val="36"/>
          <w:szCs w:val="36"/>
          <w:u w:val="single"/>
          <w:rtl w:val="0"/>
          <w:lang w:val="it-IT"/>
        </w:rPr>
        <w:t>al pubblico sabato 11 aprile alle 1030 con un vernissage organizzato dall</w:t>
      </w:r>
      <w:r>
        <w:rPr>
          <w:rFonts w:ascii="Times Roman" w:hAnsi="Times Roman" w:hint="default"/>
          <w:b w:val="1"/>
          <w:bCs w:val="1"/>
          <w:sz w:val="36"/>
          <w:szCs w:val="36"/>
          <w:u w:val="single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sz w:val="36"/>
          <w:szCs w:val="36"/>
          <w:u w:val="single"/>
          <w:rtl w:val="0"/>
          <w:lang w:val="it-IT"/>
        </w:rPr>
        <w:t xml:space="preserve">associazione forense </w:t>
      </w:r>
      <w:r>
        <w:rPr>
          <w:rFonts w:ascii="Times Roman" w:hAnsi="Times Roman" w:hint="default"/>
          <w:b w:val="1"/>
          <w:bCs w:val="1"/>
          <w:sz w:val="36"/>
          <w:szCs w:val="36"/>
          <w:u w:val="single"/>
          <w:rtl w:val="0"/>
          <w:lang w:val="it-IT"/>
        </w:rPr>
        <w:t>‘</w:t>
      </w:r>
      <w:r>
        <w:rPr>
          <w:rFonts w:ascii="Times Roman" w:hAnsi="Times Roman"/>
          <w:b w:val="1"/>
          <w:bCs w:val="1"/>
          <w:sz w:val="36"/>
          <w:szCs w:val="36"/>
          <w:u w:val="single"/>
          <w:rtl w:val="0"/>
          <w:lang w:val="it-IT"/>
        </w:rPr>
        <w:t>In Oltre</w:t>
      </w:r>
      <w:r>
        <w:rPr>
          <w:rFonts w:ascii="Times Roman" w:hAnsi="Times Roman" w:hint="default"/>
          <w:b w:val="1"/>
          <w:bCs w:val="1"/>
          <w:sz w:val="36"/>
          <w:szCs w:val="36"/>
          <w:u w:val="single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sz w:val="36"/>
          <w:szCs w:val="36"/>
          <w:u w:val="single"/>
          <w:rtl w:val="0"/>
          <w:lang w:val="it-IT"/>
        </w:rPr>
        <w:t>, in collaborazione e con il patrocinio della Fondazione Ente Ville Vesuviane, dell</w:t>
      </w:r>
      <w:r>
        <w:rPr>
          <w:rFonts w:ascii="Arial Unicode MS" w:hAnsi="Arial Unicode MS" w:hint="default"/>
          <w:sz w:val="36"/>
          <w:szCs w:val="36"/>
          <w:u w:val="single"/>
          <w:rtl w:val="0"/>
          <w:lang w:val="it-IT"/>
        </w:rPr>
        <w:t>’</w:t>
      </w:r>
      <w:r>
        <w:rPr>
          <w:rFonts w:ascii="Times Roman" w:hAnsi="Times Roman"/>
          <w:b w:val="1"/>
          <w:bCs w:val="1"/>
          <w:sz w:val="36"/>
          <w:szCs w:val="36"/>
          <w:u w:val="single"/>
          <w:rtl w:val="0"/>
          <w:lang w:val="it-IT"/>
        </w:rPr>
        <w:t>Ente Parco Nazionale del Vesuvio, della Citt</w:t>
      </w:r>
      <w:r>
        <w:rPr>
          <w:rFonts w:ascii="Times Roman" w:hAnsi="Times Roman" w:hint="default"/>
          <w:b w:val="1"/>
          <w:bCs w:val="1"/>
          <w:sz w:val="36"/>
          <w:szCs w:val="36"/>
          <w:u w:val="single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sz w:val="36"/>
          <w:szCs w:val="36"/>
          <w:u w:val="single"/>
          <w:rtl w:val="0"/>
          <w:lang w:val="it-IT"/>
        </w:rPr>
        <w:t>Metropolitana di Napoli e del Comune di Boscoreale.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Nel lavoro di Antonio Carotenuto la pietra lavica non 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è 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semplicemente un materiale da scolpire. 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È </w:t>
      </w:r>
      <w:r>
        <w:rPr>
          <w:rFonts w:ascii="Times Roman" w:hAnsi="Times Roman"/>
          <w:sz w:val="36"/>
          <w:szCs w:val="36"/>
          <w:rtl w:val="0"/>
          <w:lang w:val="it-IT"/>
        </w:rPr>
        <w:t>una materia viva, nata dal magma del Vesuvio, che porta con s</w:t>
      </w:r>
      <w:r>
        <w:rPr>
          <w:rFonts w:ascii="Times Roman" w:hAnsi="Times Roman" w:hint="default"/>
          <w:sz w:val="36"/>
          <w:szCs w:val="36"/>
          <w:rtl w:val="0"/>
          <w:lang w:val="fr-FR"/>
        </w:rPr>
        <w:t xml:space="preserve">é </w:t>
      </w:r>
      <w:r>
        <w:rPr>
          <w:rFonts w:ascii="Times Roman" w:hAnsi="Times Roman"/>
          <w:sz w:val="36"/>
          <w:szCs w:val="36"/>
          <w:rtl w:val="0"/>
          <w:lang w:val="it-IT"/>
        </w:rPr>
        <w:t>il tempo geologico del vulcano e la memoria del territorio vesuviano.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>Le sue sculture trasformano questa materia primordiale in forme che interrogano il presente: il corpo umano, la migrazione, 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attesa, la responsabilit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>à</w:t>
      </w:r>
      <w:r>
        <w:rPr>
          <w:rFonts w:ascii="Times Roman" w:hAnsi="Times Roman"/>
          <w:sz w:val="36"/>
          <w:szCs w:val="36"/>
          <w:rtl w:val="0"/>
          <w:lang w:val="it-IT"/>
        </w:rPr>
        <w:t>, la fragilit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à </w:t>
      </w:r>
      <w:r>
        <w:rPr>
          <w:rFonts w:ascii="Times Roman" w:hAnsi="Times Roman"/>
          <w:sz w:val="36"/>
          <w:szCs w:val="36"/>
          <w:rtl w:val="0"/>
          <w:lang w:val="it-IT"/>
        </w:rPr>
        <w:t>dell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esistenza. Temi universali che trovano nella pietra del Vesuvio una forza espressiva particolare, capace di unire memoria naturale e riflessione contemporanea.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Il percorso espositivo, curato dal giornalista Paolo Chiariello, si sviluppa negli ambienti del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piano nobile di Villa Campolieto</w:t>
      </w:r>
      <w:r>
        <w:rPr>
          <w:rFonts w:ascii="Times Roman" w:hAnsi="Times Roman"/>
          <w:sz w:val="36"/>
          <w:szCs w:val="36"/>
          <w:rtl w:val="0"/>
          <w:lang w:val="it-IT"/>
        </w:rPr>
        <w:t>, tra le pi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ù </w:t>
      </w:r>
      <w:r>
        <w:rPr>
          <w:rFonts w:ascii="Times Roman" w:hAnsi="Times Roman"/>
          <w:sz w:val="36"/>
          <w:szCs w:val="36"/>
          <w:rtl w:val="0"/>
          <w:lang w:val="it-IT"/>
        </w:rPr>
        <w:t>importanti residenze del Miglio d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Oro vesuviano, creando un dialogo diretto tra 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energia della materia vulcanica e 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eleganza dell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architettura settecentesca.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La mostra 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è 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organizzata in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 xml:space="preserve">sei sezioni tematiche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 xml:space="preserve">Origine, Corpo, Migrazione, Magma, Simbolo, Sintesi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>–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 che guidano il visitatore in un attraversamento della materia e del paesaggio vesuviano.</w:t>
      </w:r>
    </w:p>
    <w:p>
      <w:pPr>
        <w:pStyle w:val="Di default"/>
        <w:spacing w:before="0" w:line="240" w:lineRule="auto"/>
        <w:rPr>
          <w:rFonts w:ascii="Times Roman" w:cs="Times Roman" w:hAnsi="Times Roman" w:eastAsia="Times Roman"/>
          <w:sz w:val="36"/>
          <w:szCs w:val="36"/>
        </w:rPr>
      </w:pP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i w:val="1"/>
          <w:iCs w:val="1"/>
          <w:sz w:val="36"/>
          <w:szCs w:val="36"/>
          <w:rtl w:val="0"/>
          <w:lang w:val="it-IT"/>
        </w:rPr>
        <w:t>Pietra Viva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 nasce come progetto culturale che mette in relazione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arte contemporanea, patrimonio architettonico e paesaggio naturale</w:t>
      </w:r>
      <w:r>
        <w:rPr>
          <w:rFonts w:ascii="Times Roman" w:hAnsi="Times Roman"/>
          <w:sz w:val="36"/>
          <w:szCs w:val="36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>Il coinvolgimento nel progetto della Fondazione Ente Ville Vesuviane e del Parco Nazionale del Vesuvio rafforzano il valore di un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iniziativa che guarda al territorio non soltanto come luogo da conservare, ma come spazio vivo di produzione culturale e di riflessione sull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identit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à </w:t>
      </w:r>
      <w:r>
        <w:rPr>
          <w:rFonts w:ascii="Times Roman" w:hAnsi="Times Roman"/>
          <w:sz w:val="36"/>
          <w:szCs w:val="36"/>
          <w:rtl w:val="0"/>
          <w:lang w:val="it-IT"/>
        </w:rPr>
        <w:t>del paesaggio vesuviano.</w:t>
      </w:r>
    </w:p>
    <w:p>
      <w:pPr>
        <w:pStyle w:val="Di default"/>
        <w:spacing w:before="0" w:line="240" w:lineRule="auto"/>
        <w:rPr>
          <w:rFonts w:ascii="Times Roman" w:cs="Times Roman" w:hAnsi="Times Roman" w:eastAsia="Times Roman"/>
          <w:sz w:val="36"/>
          <w:szCs w:val="36"/>
        </w:rPr>
      </w:pP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La mostra 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è 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accompagnata da un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catalogo edito da Ebone Edizioni</w:t>
      </w:r>
      <w:r>
        <w:rPr>
          <w:rFonts w:ascii="Times Roman" w:hAnsi="Times Roman"/>
          <w:sz w:val="36"/>
          <w:szCs w:val="36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Il volume si apre con una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prefazione dello scrittore Maurizio de Giovanni</w:t>
      </w:r>
      <w:r>
        <w:rPr>
          <w:rFonts w:ascii="Times Roman" w:hAnsi="Times Roman"/>
          <w:sz w:val="36"/>
          <w:szCs w:val="36"/>
          <w:rtl w:val="0"/>
          <w:lang w:val="it-IT"/>
        </w:rPr>
        <w:t>, tra i pi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ù </w:t>
      </w:r>
      <w:r>
        <w:rPr>
          <w:rFonts w:ascii="Times Roman" w:hAnsi="Times Roman"/>
          <w:sz w:val="36"/>
          <w:szCs w:val="36"/>
          <w:rtl w:val="0"/>
          <w:lang w:val="it-IT"/>
        </w:rPr>
        <w:t>autorevoli narratori italiani contemporanei, autore di romanzi tradotti in numerosi Paesi e capaci di raccontare con forza narrativa 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identit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à </w:t>
      </w:r>
      <w:r>
        <w:rPr>
          <w:rFonts w:ascii="Times Roman" w:hAnsi="Times Roman"/>
          <w:sz w:val="36"/>
          <w:szCs w:val="36"/>
          <w:rtl w:val="0"/>
          <w:lang w:val="it-IT"/>
        </w:rPr>
        <w:t>del territorio napoletano.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Il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 xml:space="preserve">saggio critico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 xml:space="preserve">è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firmato da Massimo Bignardi</w:t>
      </w:r>
      <w:r>
        <w:rPr>
          <w:rFonts w:ascii="Times Roman" w:hAnsi="Times Roman"/>
          <w:sz w:val="36"/>
          <w:szCs w:val="36"/>
          <w:rtl w:val="0"/>
          <w:lang w:val="it-IT"/>
        </w:rPr>
        <w:t>, storico e critico d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>arte tra i pi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ù </w:t>
      </w:r>
      <w:r>
        <w:rPr>
          <w:rFonts w:ascii="Times Roman" w:hAnsi="Times Roman"/>
          <w:sz w:val="36"/>
          <w:szCs w:val="36"/>
          <w:rtl w:val="0"/>
          <w:lang w:val="it-IT"/>
        </w:rPr>
        <w:t>attenti studiosi delle relazioni tra arte contemporanea, territorio e materia.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Il catalogo </w:t>
      </w:r>
      <w:r>
        <w:rPr>
          <w:rFonts w:ascii="Times Roman" w:hAnsi="Times Roman" w:hint="default"/>
          <w:sz w:val="36"/>
          <w:szCs w:val="36"/>
          <w:rtl w:val="0"/>
          <w:lang w:val="it-IT"/>
        </w:rPr>
        <w:t xml:space="preserve">è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curato da Paolo Chiariello</w:t>
      </w:r>
      <w:r>
        <w:rPr>
          <w:rFonts w:ascii="Times Roman" w:hAnsi="Times Roman"/>
          <w:sz w:val="36"/>
          <w:szCs w:val="36"/>
          <w:rtl w:val="0"/>
          <w:lang w:val="it-IT"/>
        </w:rPr>
        <w:t>, ideatore e curatore della mostra.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sz w:val="36"/>
          <w:szCs w:val="36"/>
        </w:rPr>
      </w:pPr>
      <w:r>
        <w:rPr>
          <w:rFonts w:ascii="Times Roman" w:hAnsi="Times Roman"/>
          <w:sz w:val="36"/>
          <w:szCs w:val="36"/>
          <w:rtl w:val="0"/>
          <w:lang w:val="it-IT"/>
        </w:rPr>
        <w:t xml:space="preserve">Completano il volume gli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interventi istituzionali di Raffaele De Luca</w:t>
      </w:r>
      <w:r>
        <w:rPr>
          <w:rFonts w:ascii="Times Roman" w:hAnsi="Times Roman"/>
          <w:sz w:val="36"/>
          <w:szCs w:val="36"/>
          <w:rtl w:val="0"/>
          <w:lang w:val="it-IT"/>
        </w:rPr>
        <w:t>, presidente dell</w:t>
      </w:r>
      <w:r>
        <w:rPr>
          <w:rFonts w:ascii="Arial Unicode MS" w:hAnsi="Arial Unicode MS" w:hint="default"/>
          <w:sz w:val="36"/>
          <w:szCs w:val="36"/>
          <w:rtl w:val="0"/>
          <w:lang w:val="it-IT"/>
        </w:rPr>
        <w:t>’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Ente Parco Nazionale del Vesuvio,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Gennaro Miranda</w:t>
      </w:r>
      <w:r>
        <w:rPr>
          <w:rFonts w:ascii="Times Roman" w:hAnsi="Times Roman"/>
          <w:sz w:val="36"/>
          <w:szCs w:val="36"/>
          <w:rtl w:val="0"/>
          <w:lang w:val="it-IT"/>
        </w:rPr>
        <w:t xml:space="preserve">, presidente della Fondazione Ente Ville Vesuviane, e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Roberto Chianese</w:t>
      </w:r>
      <w:r>
        <w:rPr>
          <w:rFonts w:ascii="Times Roman" w:hAnsi="Times Roman"/>
          <w:sz w:val="36"/>
          <w:szCs w:val="36"/>
          <w:rtl w:val="0"/>
          <w:lang w:val="it-IT"/>
        </w:rPr>
        <w:t>, direttore generale della Fondazione Ente Ville Vesuviane.</w:t>
      </w:r>
    </w:p>
    <w:p>
      <w:pPr>
        <w:pStyle w:val="Di default"/>
        <w:spacing w:before="0" w:line="240" w:lineRule="auto"/>
        <w:rPr>
          <w:rFonts w:ascii="Times Roman" w:cs="Times Roman" w:hAnsi="Times Roman" w:eastAsia="Times Roman"/>
          <w:sz w:val="36"/>
          <w:szCs w:val="36"/>
        </w:rPr>
      </w:pP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  <w:lang w:val="de-DE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 xml:space="preserve">INFORMAZIONI 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hAnsi="Arial Unicode MS" w:hint="default"/>
          <w:sz w:val="36"/>
          <w:szCs w:val="36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Pietra Viva. Memoria e identit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del Vesuvio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>”</w:t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Mostra personale di Antonio Carotenuto.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 xml:space="preserve">Villa Campolieto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Ercolano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 xml:space="preserve">11 aprile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18 luglio 2026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A cura di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Paolo Chiariello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Promossa da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Associazione forense In Oltre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In collaborazione con: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Fondazione Ente Ville Vesuviane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Ente Parco Nazionale del Vesuvio</w:t>
      </w:r>
    </w:p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Con il patrocinio di: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Citt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it-IT"/>
        </w:rPr>
        <w:t xml:space="preserve">à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Metropolitana di Napoli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Comune di Boscoreale.</w:t>
      </w:r>
    </w:p>
    <w:p>
      <w:pPr>
        <w:pStyle w:val="Di default"/>
        <w:spacing w:before="0" w:after="240" w:line="240" w:lineRule="auto"/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 xml:space="preserve">Comunicazione e Media </w:t>
      </w:r>
      <w:r>
        <w:rPr>
          <w:rFonts w:ascii="Times Roman" w:cs="Times Roman" w:hAnsi="Times Roman" w:eastAsia="Times Roman"/>
          <w:b w:val="1"/>
          <w:bCs w:val="1"/>
          <w:sz w:val="36"/>
          <w:szCs w:val="36"/>
        </w:rPr>
        <w:br w:type="textWrapping"/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redazione@juorno.it / 3358197457 - 339 5932477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