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9AB8" w14:textId="2EADA054" w:rsidR="00794B1D" w:rsidRDefault="00EE37F9">
      <w:pPr>
        <w:shd w:val="clear" w:color="auto" w:fill="FFFFFF"/>
        <w:spacing w:before="240" w:after="240" w:line="276" w:lineRule="auto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COMUNICATO STAMPA</w:t>
      </w:r>
    </w:p>
    <w:p w14:paraId="5A656E6B" w14:textId="77777777" w:rsidR="00794B1D" w:rsidRDefault="00EE37F9">
      <w:pPr>
        <w:shd w:val="clear" w:color="auto" w:fill="FFFFFF"/>
        <w:spacing w:before="240" w:after="240"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Sabato 29 gennaio il primo appuntamento alla scoperta della Vittoria Alata</w:t>
      </w:r>
    </w:p>
    <w:p w14:paraId="0049D618" w14:textId="32562A9D" w:rsidR="00794B1D" w:rsidRDefault="00EE37F9">
      <w:pPr>
        <w:shd w:val="clear" w:color="auto" w:fill="FFFFFF"/>
        <w:spacing w:before="240" w:after="240" w:line="276" w:lineRule="auto"/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Fondazione Brescia Musei: giocare con l’arte sperimentare e conoscere. Perché non è mai troppo presto per andare al Museo!</w:t>
      </w:r>
    </w:p>
    <w:p w14:paraId="2BA6F451" w14:textId="55EC8171" w:rsidR="00794B1D" w:rsidRDefault="00EE37F9">
      <w:pPr>
        <w:shd w:val="clear" w:color="auto" w:fill="FFFFFF"/>
        <w:spacing w:before="240" w:after="240" w:line="276" w:lineRule="auto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Da gennaio a maggio, un appuntamento al mese per bambini dagli 0 ai 5 anni, per</w:t>
      </w:r>
      <w:r>
        <w:rPr>
          <w:rFonts w:ascii="Helvetica Neue" w:eastAsia="Helvetica Neue" w:hAnsi="Helvetica Neue" w:cs="Helvetica Neue"/>
          <w:b/>
          <w:i/>
        </w:rPr>
        <w:t xml:space="preserve"> imparare attraverso il gioco e l’esperienza diretta</w:t>
      </w:r>
    </w:p>
    <w:p w14:paraId="3EF7979A" w14:textId="77777777" w:rsidR="00794B1D" w:rsidRDefault="00794B1D">
      <w:pPr>
        <w:shd w:val="clear" w:color="auto" w:fill="FFFFFF"/>
        <w:spacing w:before="240" w:after="240" w:line="276" w:lineRule="auto"/>
        <w:rPr>
          <w:rFonts w:ascii="Helvetica Neue" w:eastAsia="Helvetica Neue" w:hAnsi="Helvetica Neue" w:cs="Helvetica Neue"/>
          <w:b/>
          <w:i/>
        </w:rPr>
      </w:pPr>
    </w:p>
    <w:p w14:paraId="3B7FBE72" w14:textId="77777777" w:rsidR="00794B1D" w:rsidRDefault="00794B1D">
      <w:pPr>
        <w:shd w:val="clear" w:color="auto" w:fill="FFFFFF"/>
        <w:spacing w:before="240" w:after="240" w:line="276" w:lineRule="auto"/>
        <w:rPr>
          <w:rFonts w:ascii="Helvetica Neue" w:eastAsia="Helvetica Neue" w:hAnsi="Helvetica Neue" w:cs="Helvetica Neue"/>
          <w:i/>
        </w:rPr>
      </w:pPr>
    </w:p>
    <w:p w14:paraId="2EB9EA8A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222222"/>
          <w:sz w:val="22"/>
          <w:szCs w:val="22"/>
        </w:rPr>
        <w:t xml:space="preserve">Brescia, 25 gennaio 2022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-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Sabato 29 gennaio 2022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riparte il progetto che la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Fondazione Brescia Musei - Servizi Educativi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dedica ai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bambini dagli 0 ai 5 anni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cinque laboratori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con scadenza mensile,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da gennaio a maggio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rivolti ai più piccoli e alle loro famiglie.</w:t>
      </w:r>
    </w:p>
    <w:p w14:paraId="2D6782C8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>È noto che la confidenza con l’ambiente del Museo nell’età dell’infanzia è il presupposto essenziale per un utilizzo dei servizi culturali in età adulta, così come giocare con l’arte, sperimentando tecniche, re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gole, materiali, strumenti diversi possa aiutare nello sviluppare la capacità di osservazione, la manualità, la creatività e il pensiero critico e progettuale dei bambini.</w:t>
      </w:r>
    </w:p>
    <w:p w14:paraId="7710F38B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Sulla base di queste riflessioni i Servizi Educativi hanno dato vita al progetto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Und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er 5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, attività ludico creative pensate appositamente perché anche i bambini più piccoli possano sperimentare, conoscere e imparare attraverso il gioco e l’esperienza diretta.</w:t>
      </w:r>
    </w:p>
    <w:p w14:paraId="605C00DF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>I laboratori coinvolgeranno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tutte le sedi museali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gestite dalla Fondazione Bresci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a Musei e si terranno la mattina di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sabato, alle ore 10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: un orario immaginato per agevolare la partecipazione proprio di questa particolare fascia di età.</w:t>
      </w:r>
    </w:p>
    <w:p w14:paraId="449A6213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>Il primo laboratorio, dedicato a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bambini dai 2 ai 5 anni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, è in programma sabato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29 gennaio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con parten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za dal Museo di Santa Giulia per poi spostarsi a Brixia. Parco Archeologico di Brescia romana e sarà dedicato ad un primo approccio alla scoperta della Vittoria Alata: due piccole ali da indossare saranno le protagoniste del laboratorio, </w:t>
      </w:r>
      <w:r>
        <w:rPr>
          <w:rFonts w:ascii="Helvetica Neue" w:eastAsia="Helvetica Neue" w:hAnsi="Helvetica Neue" w:cs="Helvetica Neue"/>
          <w:b/>
          <w:i/>
          <w:color w:val="222222"/>
          <w:sz w:val="22"/>
          <w:szCs w:val="22"/>
        </w:rPr>
        <w:t>Mettiamo le ali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, c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he vedrà genitori e bambini come una piccola squadra. La creatività libera dei bambini darà forma a leggere ali che potranno essere indossate con l’aiuto dei genitori che sosterranno i piccoli nelle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lastRenderedPageBreak/>
        <w:t xml:space="preserve">fasi più complesse del lavoro. Il percorso si concluderà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nella cella occidentale del Tempio Capitolino per ammirare la Vittoria Alata.</w:t>
      </w:r>
    </w:p>
    <w:p w14:paraId="71B13E6D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Il laboratorio di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febbraio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, in cartellone sabato 12, sarà rivolto 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bambini dai 3 ai 5 anni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e si terrà presso la Pinacoteca </w:t>
      </w:r>
      <w:proofErr w:type="spellStart"/>
      <w:r>
        <w:rPr>
          <w:rFonts w:ascii="Helvetica Neue" w:eastAsia="Helvetica Neue" w:hAnsi="Helvetica Neue" w:cs="Helvetica Neue"/>
          <w:color w:val="222222"/>
          <w:sz w:val="22"/>
          <w:szCs w:val="22"/>
        </w:rPr>
        <w:t>Tosio</w:t>
      </w:r>
      <w:proofErr w:type="spellEnd"/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Martinengo, alla scoperta degli animali che si n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ascondono nei dipinti esposti: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222222"/>
          <w:sz w:val="22"/>
          <w:szCs w:val="22"/>
        </w:rPr>
        <w:t>In barca con Noè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, un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modo divertente per conoscere storie e opere, lasciando libera la creatività attraverso la manipolazione dell’argilla.</w:t>
      </w:r>
    </w:p>
    <w:p w14:paraId="37B4DF66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Marzo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- sabato 12 - vedrà protagonista il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Museo delle Armi “Luigi Marzoli”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con un per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corso teatralizzato </w:t>
      </w:r>
      <w:r>
        <w:rPr>
          <w:rFonts w:ascii="Helvetica Neue" w:eastAsia="Helvetica Neue" w:hAnsi="Helvetica Neue" w:cs="Helvetica Neue"/>
          <w:b/>
          <w:i/>
          <w:color w:val="222222"/>
          <w:sz w:val="22"/>
          <w:szCs w:val="22"/>
        </w:rPr>
        <w:t>Un menestrello per cavalieri coraggiosi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dedicato ai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bambini di 4 e 5 anni.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Accompagnati dalla voce di un simpatico menestrello, i piccoli partecipanti rivivono le atmosfere di epoche lontane, tra vita quotidiana e imprese cavalleresche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evocate da elmi, scudi e alabarde, per terminare con la messa in scena di una vera e propria parata.</w:t>
      </w:r>
      <w:r>
        <w:rPr>
          <w:rFonts w:ascii="Helvetica Neue" w:eastAsia="Helvetica Neue" w:hAnsi="Helvetica Neue" w:cs="Helvetica Neue"/>
          <w:b/>
          <w:i/>
          <w:color w:val="222222"/>
          <w:sz w:val="22"/>
          <w:szCs w:val="22"/>
        </w:rPr>
        <w:t xml:space="preserve"> </w:t>
      </w:r>
    </w:p>
    <w:p w14:paraId="30EB1303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Il mese di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aprile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guarda ai piccolissimi,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dagli 0 ai 2 anni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: sabato 9 è in programma </w:t>
      </w:r>
      <w:r>
        <w:rPr>
          <w:rFonts w:ascii="Helvetica Neue" w:eastAsia="Helvetica Neue" w:hAnsi="Helvetica Neue" w:cs="Helvetica Neue"/>
          <w:b/>
          <w:i/>
          <w:color w:val="222222"/>
          <w:sz w:val="22"/>
          <w:szCs w:val="22"/>
        </w:rPr>
        <w:t xml:space="preserve">Passeggini in castello!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Una piacevole passeggiata a quattro ruote all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a scoperta di angoli speciali, storie e curiosità della fortezza cittadina. Un viaggio tra mura merlate e torri, un percorso nel bellissimo parco del Castello, un modo diverso per scoprire il Falcone d’Italia e offrire ai più piccoli uno sguardo speciale s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u uno dei monumenti più amati della città.</w:t>
      </w:r>
    </w:p>
    <w:p w14:paraId="45453474" w14:textId="77777777" w:rsidR="00794B1D" w:rsidRDefault="00EE37F9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A maggio infine, in occasione della festa della mamma, presso la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Pinacoteca </w:t>
      </w:r>
      <w:proofErr w:type="spellStart"/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Tosio</w:t>
      </w:r>
      <w:proofErr w:type="spellEnd"/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 xml:space="preserve"> Martinengo 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si terrà il laboratorio </w:t>
      </w:r>
      <w:r>
        <w:rPr>
          <w:rFonts w:ascii="Helvetica Neue" w:eastAsia="Helvetica Neue" w:hAnsi="Helvetica Neue" w:cs="Helvetica Neue"/>
          <w:b/>
          <w:i/>
          <w:color w:val="222222"/>
          <w:sz w:val="22"/>
          <w:szCs w:val="22"/>
        </w:rPr>
        <w:t>Mamma mia!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per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bambini dai 3 ai 5 anni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, per creare uno speciale biglietto di auguri. Un’occasion</w:t>
      </w:r>
      <w:r>
        <w:rPr>
          <w:rFonts w:ascii="Helvetica Neue" w:eastAsia="Helvetica Neue" w:hAnsi="Helvetica Neue" w:cs="Helvetica Neue"/>
          <w:color w:val="222222"/>
          <w:sz w:val="22"/>
          <w:szCs w:val="22"/>
        </w:rPr>
        <w:t>e speciale per scoprire diverse rappresentazioni del rapporto madre figlio tra i dipinti della Pinacoteca e tradurre sensazioni e sentimenti non più per immagini ma per stimoli sensoriali.</w:t>
      </w:r>
    </w:p>
    <w:p w14:paraId="0AFA223B" w14:textId="77777777" w:rsidR="00794B1D" w:rsidRDefault="00794B1D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</w:p>
    <w:p w14:paraId="38FFEDFA" w14:textId="77777777" w:rsidR="00794B1D" w:rsidRDefault="00EE37F9">
      <w:pPr>
        <w:shd w:val="clear" w:color="auto" w:fill="FFFFFF"/>
        <w:spacing w:before="240" w:after="240" w:line="276" w:lineRule="auto"/>
        <w:rPr>
          <w:rFonts w:ascii="Helvetica Neue" w:eastAsia="Helvetica Neue" w:hAnsi="Helvetica Neue" w:cs="Helvetica Neue"/>
          <w:b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INFORMAZIONI</w:t>
      </w:r>
    </w:p>
    <w:p w14:paraId="4D5960AB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>I laboratori si tengono tutti il sabato mattina alle ore 10</w:t>
      </w:r>
    </w:p>
    <w:p w14:paraId="78DE5995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Ritrovo: presso la biglietteria </w:t>
      </w:r>
      <w:proofErr w:type="gramStart"/>
      <w:r>
        <w:rPr>
          <w:rFonts w:ascii="Helvetica Neue" w:eastAsia="Helvetica Neue" w:hAnsi="Helvetica Neue" w:cs="Helvetica Neue"/>
          <w:color w:val="222222"/>
          <w:sz w:val="22"/>
          <w:szCs w:val="22"/>
        </w:rPr>
        <w:t>delle singoli</w:t>
      </w:r>
      <w:proofErr w:type="gramEnd"/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 sedi museali </w:t>
      </w:r>
    </w:p>
    <w:p w14:paraId="051FA4B1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sdt>
        <w:sdtPr>
          <w:tag w:val="goog_rdk_0"/>
          <w:id w:val="-1445373052"/>
        </w:sdtPr>
        <w:sdtEndPr/>
        <w:sdtContent>
          <w:r>
            <w:rPr>
              <w:rFonts w:ascii="PT Sans" w:eastAsia="PT Sans" w:hAnsi="PT Sans" w:cs="PT Sans"/>
              <w:color w:val="222222"/>
              <w:sz w:val="22"/>
              <w:szCs w:val="22"/>
            </w:rPr>
            <w:t xml:space="preserve">Costo: 6.50 adulti </w:t>
          </w:r>
          <w:proofErr w:type="gramStart"/>
          <w:r>
            <w:rPr>
              <w:rFonts w:ascii="PT Sans" w:eastAsia="PT Sans" w:hAnsi="PT Sans" w:cs="PT Sans"/>
              <w:color w:val="222222"/>
              <w:sz w:val="22"/>
              <w:szCs w:val="22"/>
            </w:rPr>
            <w:t>€ ;</w:t>
          </w:r>
          <w:proofErr w:type="gramEnd"/>
          <w:r>
            <w:rPr>
              <w:rFonts w:ascii="PT Sans" w:eastAsia="PT Sans" w:hAnsi="PT Sans" w:cs="PT Sans"/>
              <w:color w:val="222222"/>
              <w:sz w:val="22"/>
              <w:szCs w:val="22"/>
            </w:rPr>
            <w:t xml:space="preserve"> 4.50 bambini </w:t>
          </w:r>
        </w:sdtContent>
      </w:sdt>
    </w:p>
    <w:p w14:paraId="29FDBBA5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L’evento del 9 aprile è gratuito per i possessori del “passaporto culturale” </w:t>
      </w:r>
    </w:p>
    <w:p w14:paraId="06147C44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>Durata: ore 1.30</w:t>
      </w:r>
    </w:p>
    <w:p w14:paraId="5AEFEF94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 xml:space="preserve">Prenotazioni: CUP Centro Unico Prenotazioni  </w:t>
      </w:r>
    </w:p>
    <w:p w14:paraId="41C6E76B" w14:textId="77777777" w:rsidR="00794B1D" w:rsidRDefault="00EE37F9">
      <w:pPr>
        <w:shd w:val="clear" w:color="auto" w:fill="FFFFFF"/>
        <w:spacing w:line="276" w:lineRule="auto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222222"/>
          <w:sz w:val="22"/>
          <w:szCs w:val="22"/>
        </w:rPr>
        <w:t>030.2977833-834 santagiulia@bresciamusei.com</w:t>
      </w:r>
    </w:p>
    <w:p w14:paraId="06A8C7DF" w14:textId="77777777" w:rsidR="00794B1D" w:rsidRDefault="00794B1D">
      <w:pPr>
        <w:widowControl w:val="0"/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14085AE1" w14:textId="77777777" w:rsidR="00794B1D" w:rsidRDefault="00EE37F9">
      <w:pPr>
        <w:widowControl w:val="0"/>
        <w:spacing w:line="36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È garantito il rispetto di tutte le norme anti Covid-19 (distanziamento, igiene e sanificazione). </w:t>
      </w:r>
    </w:p>
    <w:p w14:paraId="1F932B4E" w14:textId="77777777" w:rsidR="00794B1D" w:rsidRDefault="00EE37F9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color w:val="333333"/>
          <w:sz w:val="22"/>
          <w:szCs w:val="22"/>
        </w:rPr>
      </w:pPr>
      <w:r>
        <w:rPr>
          <w:rFonts w:ascii="Helvetica Neue" w:eastAsia="Helvetica Neue" w:hAnsi="Helvetica Neue" w:cs="Helvetica Neue"/>
          <w:color w:val="333333"/>
          <w:sz w:val="22"/>
          <w:szCs w:val="22"/>
        </w:rPr>
        <w:t>L’accesso alle sedi museali per gli accompagnato</w:t>
      </w:r>
      <w:r>
        <w:rPr>
          <w:rFonts w:ascii="Helvetica Neue" w:eastAsia="Helvetica Neue" w:hAnsi="Helvetica Neue" w:cs="Helvetica Neue"/>
          <w:color w:val="333333"/>
          <w:sz w:val="22"/>
          <w:szCs w:val="22"/>
        </w:rPr>
        <w:t xml:space="preserve">ri è consentito esclusivamente ai soggetti muniti di </w:t>
      </w:r>
      <w:r>
        <w:rPr>
          <w:rFonts w:ascii="Helvetica Neue" w:eastAsia="Helvetica Neue" w:hAnsi="Helvetica Neue" w:cs="Helvetica Neue"/>
          <w:b/>
          <w:color w:val="333333"/>
          <w:sz w:val="22"/>
          <w:szCs w:val="22"/>
        </w:rPr>
        <w:t xml:space="preserve">Super Green Pass, cioè un green pass di vaccinazione o di guarigione. </w:t>
      </w:r>
      <w:r>
        <w:rPr>
          <w:rFonts w:ascii="Helvetica Neue" w:eastAsia="Helvetica Neue" w:hAnsi="Helvetica Neue" w:cs="Helvetica Neue"/>
          <w:color w:val="333333"/>
          <w:sz w:val="22"/>
          <w:szCs w:val="22"/>
        </w:rPr>
        <w:t xml:space="preserve">Si ricorda </w:t>
      </w:r>
      <w:r>
        <w:rPr>
          <w:rFonts w:ascii="Helvetica Neue" w:eastAsia="Helvetica Neue" w:hAnsi="Helvetica Neue" w:cs="Helvetica Neue"/>
          <w:color w:val="333333"/>
          <w:sz w:val="22"/>
          <w:szCs w:val="22"/>
        </w:rPr>
        <w:lastRenderedPageBreak/>
        <w:t>che è necessario anche mostrare un documento di identità in corso di validità. Sono esenti da verifica i minori di 12 anni</w:t>
      </w:r>
      <w:r>
        <w:rPr>
          <w:rFonts w:ascii="Helvetica Neue" w:eastAsia="Helvetica Neue" w:hAnsi="Helvetica Neue" w:cs="Helvetica Neue"/>
          <w:color w:val="333333"/>
          <w:sz w:val="22"/>
          <w:szCs w:val="22"/>
        </w:rPr>
        <w:t xml:space="preserve"> e i soggetti esenti sulla base di idonea certificazione (art. 3 comma 3 D.L. 105 del 23 luglio 2021)</w:t>
      </w:r>
    </w:p>
    <w:p w14:paraId="6BF10056" w14:textId="77777777" w:rsidR="00794B1D" w:rsidRDefault="00EE37F9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color w:val="222222"/>
          <w:sz w:val="22"/>
          <w:szCs w:val="22"/>
        </w:rPr>
      </w:pPr>
      <w:r>
        <w:rPr>
          <w:rFonts w:ascii="Helvetica Neue" w:eastAsia="Helvetica Neue" w:hAnsi="Helvetica Neue" w:cs="Helvetica Neue"/>
          <w:color w:val="333333"/>
          <w:sz w:val="22"/>
          <w:szCs w:val="22"/>
        </w:rPr>
        <w:t>In caso di dichiarazioni non veritiere la Fondazione non effettuerà alcun rimborso del titolo di ingresso.</w:t>
      </w:r>
    </w:p>
    <w:p w14:paraId="17A6DB81" w14:textId="77777777" w:rsidR="00794B1D" w:rsidRDefault="00794B1D">
      <w:pPr>
        <w:shd w:val="clear" w:color="auto" w:fill="FFFFFF"/>
        <w:spacing w:before="240" w:after="240"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e"/>
        <w:tblW w:w="920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4"/>
        <w:gridCol w:w="3493"/>
        <w:gridCol w:w="2549"/>
      </w:tblGrid>
      <w:tr w:rsidR="00794B1D" w14:paraId="7E68D4B5" w14:textId="77777777">
        <w:trPr>
          <w:trHeight w:val="1850"/>
        </w:trPr>
        <w:tc>
          <w:tcPr>
            <w:tcW w:w="3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ABDE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b/>
                <w:sz w:val="18"/>
                <w:szCs w:val="18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  <w:highlight w:val="white"/>
              </w:rPr>
              <w:t>Ufficio stampa</w:t>
            </w:r>
          </w:p>
          <w:p w14:paraId="60B152D7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color w:val="0563C1"/>
                <w:sz w:val="16"/>
                <w:szCs w:val="16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  <w:highlight w:val="white"/>
              </w:rPr>
              <w:t>Fondazione Brescia Musei</w:t>
            </w:r>
          </w:p>
          <w:p w14:paraId="0DC3F13A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sz w:val="16"/>
                <w:szCs w:val="16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  <w:highlight w:val="white"/>
              </w:rPr>
              <w:t>Francesca Raimondi</w:t>
            </w:r>
          </w:p>
          <w:p w14:paraId="3109FFDC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sz w:val="16"/>
                <w:szCs w:val="16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  <w:highlight w:val="white"/>
              </w:rPr>
              <w:t>+39 331 8039611</w:t>
            </w:r>
          </w:p>
          <w:p w14:paraId="67A960D4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color w:val="0563C1"/>
                <w:sz w:val="16"/>
                <w:szCs w:val="16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563C1"/>
                <w:sz w:val="16"/>
                <w:szCs w:val="16"/>
                <w:highlight w:val="white"/>
                <w:u w:val="single"/>
              </w:rPr>
              <w:t>raimondi@bresciamusei.com</w:t>
            </w:r>
          </w:p>
        </w:tc>
        <w:tc>
          <w:tcPr>
            <w:tcW w:w="3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90E9" w14:textId="77777777" w:rsidR="00794B1D" w:rsidRDefault="00794B1D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color w:val="0563C1"/>
                <w:sz w:val="16"/>
                <w:szCs w:val="16"/>
                <w:highlight w:val="white"/>
                <w:u w:val="single"/>
              </w:rPr>
            </w:pPr>
          </w:p>
        </w:tc>
        <w:tc>
          <w:tcPr>
            <w:tcW w:w="2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2A10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b/>
                <w:sz w:val="18"/>
                <w:szCs w:val="18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  <w:highlight w:val="white"/>
              </w:rPr>
              <w:t>Seguici su</w:t>
            </w:r>
          </w:p>
          <w:p w14:paraId="33228579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color w:val="0563C1"/>
                <w:sz w:val="16"/>
                <w:szCs w:val="16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b/>
                <w:noProof/>
                <w:sz w:val="18"/>
                <w:szCs w:val="18"/>
                <w:highlight w:val="white"/>
              </w:rPr>
              <w:drawing>
                <wp:inline distT="114300" distB="114300" distL="114300" distR="114300" wp14:anchorId="3BB31C76" wp14:editId="6157B561">
                  <wp:extent cx="246085" cy="359662"/>
                  <wp:effectExtent l="0" t="0" r="0" b="0"/>
                  <wp:docPr id="1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85" cy="3596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 Neue" w:eastAsia="Helvetica Neue" w:hAnsi="Helvetica Neue" w:cs="Helvetica Neue"/>
                <w:b/>
                <w:noProof/>
                <w:sz w:val="18"/>
                <w:szCs w:val="18"/>
                <w:highlight w:val="white"/>
              </w:rPr>
              <w:drawing>
                <wp:inline distT="114300" distB="114300" distL="114300" distR="114300" wp14:anchorId="7CD63442" wp14:editId="409FC901">
                  <wp:extent cx="361950" cy="381000"/>
                  <wp:effectExtent l="0" t="0" r="0" b="0"/>
                  <wp:docPr id="1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 Neue" w:eastAsia="Helvetica Neue" w:hAnsi="Helvetica Neue" w:cs="Helvetica Neue"/>
                <w:b/>
                <w:noProof/>
                <w:sz w:val="18"/>
                <w:szCs w:val="18"/>
                <w:highlight w:val="white"/>
              </w:rPr>
              <w:drawing>
                <wp:inline distT="114300" distB="114300" distL="114300" distR="114300" wp14:anchorId="4CEEFD1C" wp14:editId="0770FB89">
                  <wp:extent cx="304800" cy="323850"/>
                  <wp:effectExtent l="0" t="0" r="0" b="0"/>
                  <wp:docPr id="1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674EBE" w14:textId="77777777" w:rsidR="00794B1D" w:rsidRDefault="00EE37F9">
            <w:pPr>
              <w:spacing w:line="301" w:lineRule="auto"/>
              <w:jc w:val="both"/>
              <w:rPr>
                <w:rFonts w:ascii="Helvetica Neue" w:eastAsia="Helvetica Neue" w:hAnsi="Helvetica Neue" w:cs="Helvetica Neue"/>
                <w:i/>
                <w:color w:val="954F72"/>
                <w:sz w:val="16"/>
                <w:szCs w:val="16"/>
                <w:highlight w:val="white"/>
                <w:u w:val="single"/>
              </w:rPr>
            </w:pPr>
            <w:hyperlink r:id="rId10">
              <w:r>
                <w:rPr>
                  <w:rFonts w:ascii="Helvetica Neue" w:eastAsia="Helvetica Neue" w:hAnsi="Helvetica Neue" w:cs="Helvetica Neue"/>
                  <w:i/>
                  <w:color w:val="954F72"/>
                  <w:sz w:val="16"/>
                  <w:szCs w:val="16"/>
                  <w:highlight w:val="white"/>
                  <w:u w:val="single"/>
                </w:rPr>
                <w:t>bresciamusei.com</w:t>
              </w:r>
            </w:hyperlink>
          </w:p>
          <w:p w14:paraId="6C44BC6B" w14:textId="77777777" w:rsidR="00794B1D" w:rsidRDefault="00EE37F9">
            <w:pPr>
              <w:spacing w:line="301" w:lineRule="auto"/>
              <w:jc w:val="both"/>
              <w:rPr>
                <w:rFonts w:ascii="Helvetica Neue" w:eastAsia="Helvetica Neue" w:hAnsi="Helvetica Neue" w:cs="Helvetica Neue"/>
                <w:i/>
                <w:color w:val="954F72"/>
                <w:sz w:val="16"/>
                <w:szCs w:val="16"/>
                <w:highlight w:val="white"/>
              </w:rPr>
            </w:pPr>
            <w:hyperlink r:id="rId11">
              <w:r>
                <w:rPr>
                  <w:rFonts w:ascii="Helvetica Neue" w:eastAsia="Helvetica Neue" w:hAnsi="Helvetica Neue" w:cs="Helvetica Neue"/>
                  <w:i/>
                  <w:color w:val="1155CC"/>
                  <w:sz w:val="16"/>
                  <w:szCs w:val="16"/>
                  <w:highlight w:val="white"/>
                  <w:u w:val="single"/>
                </w:rPr>
                <w:t>vittorialatabrescia.it</w:t>
              </w:r>
            </w:hyperlink>
            <w:r>
              <w:rPr>
                <w:rFonts w:ascii="Helvetica Neue" w:eastAsia="Helvetica Neue" w:hAnsi="Helvetica Neue" w:cs="Helvetica Neue"/>
                <w:i/>
                <w:color w:val="954F72"/>
                <w:sz w:val="16"/>
                <w:szCs w:val="16"/>
                <w:highlight w:val="white"/>
              </w:rPr>
              <w:t xml:space="preserve"> </w:t>
            </w:r>
          </w:p>
          <w:p w14:paraId="23FD3634" w14:textId="77777777" w:rsidR="00794B1D" w:rsidRDefault="00EE37F9">
            <w:pPr>
              <w:spacing w:line="301" w:lineRule="auto"/>
              <w:jc w:val="both"/>
              <w:rPr>
                <w:rFonts w:ascii="Helvetica Neue" w:eastAsia="Helvetica Neue" w:hAnsi="Helvetica Neue" w:cs="Helvetica Neue"/>
                <w:i/>
                <w:color w:val="954F72"/>
                <w:sz w:val="16"/>
                <w:szCs w:val="16"/>
                <w:highlight w:val="white"/>
                <w:u w:val="single"/>
              </w:rPr>
            </w:pPr>
            <w:hyperlink r:id="rId12">
              <w:r>
                <w:rPr>
                  <w:rFonts w:ascii="Helvetica Neue" w:eastAsia="Helvetica Neue" w:hAnsi="Helvetica Neue" w:cs="Helvetica Neue"/>
                  <w:i/>
                  <w:color w:val="954F72"/>
                  <w:sz w:val="16"/>
                  <w:szCs w:val="16"/>
                  <w:highlight w:val="white"/>
                  <w:u w:val="single"/>
                </w:rPr>
                <w:t>bresciaphotofestival.it</w:t>
              </w:r>
            </w:hyperlink>
          </w:p>
          <w:p w14:paraId="441540EE" w14:textId="77777777" w:rsidR="00794B1D" w:rsidRDefault="00EE37F9">
            <w:pPr>
              <w:spacing w:line="275" w:lineRule="auto"/>
              <w:jc w:val="both"/>
              <w:rPr>
                <w:rFonts w:ascii="Helvetica Neue" w:eastAsia="Helvetica Neue" w:hAnsi="Helvetica Neue" w:cs="Helvetica Neue"/>
                <w:color w:val="0563C1"/>
                <w:sz w:val="16"/>
                <w:szCs w:val="16"/>
                <w:highlight w:val="white"/>
              </w:rPr>
            </w:pPr>
            <w:hyperlink r:id="rId13">
              <w:r>
                <w:rPr>
                  <w:rFonts w:ascii="Helvetica Neue" w:eastAsia="Helvetica Neue" w:hAnsi="Helvetica Neue" w:cs="Helvetica Neue"/>
                  <w:i/>
                  <w:color w:val="954F72"/>
                  <w:sz w:val="16"/>
                  <w:szCs w:val="16"/>
                  <w:highlight w:val="white"/>
                  <w:u w:val="single"/>
                </w:rPr>
                <w:t>nuovoeden.it</w:t>
              </w:r>
            </w:hyperlink>
          </w:p>
        </w:tc>
      </w:tr>
    </w:tbl>
    <w:p w14:paraId="16B51353" w14:textId="77777777" w:rsidR="00794B1D" w:rsidRDefault="00794B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794B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61" w:right="1020" w:bottom="1377" w:left="1678" w:header="70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B9CB" w14:textId="77777777" w:rsidR="00000000" w:rsidRDefault="00EE37F9">
      <w:r>
        <w:separator/>
      </w:r>
    </w:p>
  </w:endnote>
  <w:endnote w:type="continuationSeparator" w:id="0">
    <w:p w14:paraId="2D30CBBF" w14:textId="77777777" w:rsidR="00000000" w:rsidRDefault="00E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A3B5" w14:textId="77777777" w:rsidR="00794B1D" w:rsidRDefault="00794B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58C" w14:textId="77777777" w:rsidR="00794B1D" w:rsidRDefault="00794B1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333333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6786" w14:textId="77777777" w:rsidR="00794B1D" w:rsidRDefault="00794B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5A83" w14:textId="77777777" w:rsidR="00000000" w:rsidRDefault="00EE37F9">
      <w:r>
        <w:separator/>
      </w:r>
    </w:p>
  </w:footnote>
  <w:footnote w:type="continuationSeparator" w:id="0">
    <w:p w14:paraId="6F349E4C" w14:textId="77777777" w:rsidR="00000000" w:rsidRDefault="00E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EB3E" w14:textId="77777777" w:rsidR="00794B1D" w:rsidRDefault="00794B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28B1" w14:textId="77777777" w:rsidR="00794B1D" w:rsidRDefault="00EE37F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171684" wp14:editId="4CC7C6C1">
          <wp:simplePos x="0" y="0"/>
          <wp:positionH relativeFrom="column">
            <wp:posOffset>2971800</wp:posOffset>
          </wp:positionH>
          <wp:positionV relativeFrom="paragraph">
            <wp:posOffset>61914</wp:posOffset>
          </wp:positionV>
          <wp:extent cx="2794388" cy="505368"/>
          <wp:effectExtent l="0" t="0" r="0" b="0"/>
          <wp:wrapSquare wrapText="bothSides" distT="114300" distB="114300" distL="114300" distR="114300"/>
          <wp:docPr id="16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4388" cy="505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20BD3F" wp14:editId="2E08D947">
          <wp:simplePos x="0" y="0"/>
          <wp:positionH relativeFrom="column">
            <wp:posOffset>171450</wp:posOffset>
          </wp:positionH>
          <wp:positionV relativeFrom="paragraph">
            <wp:posOffset>-138097</wp:posOffset>
          </wp:positionV>
          <wp:extent cx="548640" cy="897890"/>
          <wp:effectExtent l="0" t="0" r="0" b="0"/>
          <wp:wrapSquare wrapText="bothSides" distT="0" distB="0" distL="114300" distR="114300"/>
          <wp:docPr id="159" name="image5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DB10AE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0F1B98CA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30C12BFD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7DC161FF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7ED972B6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7712B2B7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FF79" w14:textId="77777777" w:rsidR="00794B1D" w:rsidRDefault="00EE37F9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8445E5" wp14:editId="017A3883">
          <wp:simplePos x="0" y="0"/>
          <wp:positionH relativeFrom="page">
            <wp:posOffset>1779975</wp:posOffset>
          </wp:positionH>
          <wp:positionV relativeFrom="page">
            <wp:posOffset>354330</wp:posOffset>
          </wp:positionV>
          <wp:extent cx="548640" cy="897890"/>
          <wp:effectExtent l="0" t="0" r="0" b="0"/>
          <wp:wrapSquare wrapText="bothSides" distT="0" distB="0" distL="114300" distR="114300"/>
          <wp:docPr id="157" name="image5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8D6B6A8" wp14:editId="702A264B">
          <wp:simplePos x="0" y="0"/>
          <wp:positionH relativeFrom="column">
            <wp:posOffset>2781300</wp:posOffset>
          </wp:positionH>
          <wp:positionV relativeFrom="paragraph">
            <wp:posOffset>200025</wp:posOffset>
          </wp:positionV>
          <wp:extent cx="2794388" cy="505368"/>
          <wp:effectExtent l="0" t="0" r="0" b="0"/>
          <wp:wrapSquare wrapText="bothSides" distT="114300" distB="114300" distL="114300" distR="114300"/>
          <wp:docPr id="16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4388" cy="505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292BB" w14:textId="77777777" w:rsidR="00794B1D" w:rsidRDefault="00794B1D">
    <w:pPr>
      <w:spacing w:line="276" w:lineRule="auto"/>
    </w:pPr>
  </w:p>
  <w:p w14:paraId="21D3FE9B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5CDB3EA6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61FF44F0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190494D7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  <w:p w14:paraId="5FCEB3ED" w14:textId="77777777" w:rsidR="00794B1D" w:rsidRDefault="00794B1D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D"/>
    <w:rsid w:val="00794B1D"/>
    <w:rsid w:val="00E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B41"/>
  <w15:docId w15:val="{3085ED3B-B063-47C1-8035-D8FE401F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DB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1C3114"/>
    <w:rPr>
      <w:i/>
      <w:iCs/>
    </w:rPr>
  </w:style>
  <w:style w:type="table" w:customStyle="1" w:styleId="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ovoeden.i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bresciaphotofestival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ittorialatabresci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resciamusei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wSwrb8mMYkcu2Z9nSAgTZuXKw==">AMUW2mVMVdaYRgmFhPtpT5/Hb4rYymN2UeXE78E/xp/zWmIqw6yfKxVZUDCLXIREd7AA5h75Bzk4qmdx2seoCzCGLk9glFC8Ey1B9y0KvqsJkKlUMpi2L8xhTsI5Uc/BSuFBEQEXMvJ6J00NR6Q/TWVamaKE0LhSs8pP7Gv6osiXVnPQpg7/WW0=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Raimondi</dc:creator>
  <cp:lastModifiedBy>Giuseppe Mazzadi</cp:lastModifiedBy>
  <cp:revision>2</cp:revision>
  <dcterms:created xsi:type="dcterms:W3CDTF">2022-01-25T21:37:00Z</dcterms:created>
  <dcterms:modified xsi:type="dcterms:W3CDTF">2022-01-25T21:37:00Z</dcterms:modified>
</cp:coreProperties>
</file>