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0A3D" w14:textId="77777777" w:rsidR="004850D2" w:rsidRDefault="00000000">
      <w:pPr>
        <w:widowControl/>
        <w:jc w:val="center"/>
        <w:rPr>
          <w:rFonts w:ascii="Arial" w:eastAsia="Arial" w:hAnsi="Arial" w:cs="Arial"/>
          <w:b/>
          <w:bCs/>
          <w:kern w:val="2"/>
          <w:sz w:val="24"/>
          <w:szCs w:val="24"/>
        </w:rPr>
      </w:pPr>
      <w:r>
        <w:rPr>
          <w:rFonts w:ascii="Arial" w:hAnsi="Arial"/>
          <w:b/>
          <w:bCs/>
          <w:kern w:val="2"/>
          <w:sz w:val="24"/>
          <w:szCs w:val="24"/>
        </w:rPr>
        <w:t>comunicato stampa</w:t>
      </w:r>
    </w:p>
    <w:p w14:paraId="54EEA0F9" w14:textId="77777777" w:rsidR="004850D2" w:rsidRPr="00D44167" w:rsidRDefault="004850D2">
      <w:pPr>
        <w:widowControl/>
        <w:jc w:val="center"/>
        <w:rPr>
          <w:rFonts w:ascii="Arial" w:eastAsia="Arial" w:hAnsi="Arial" w:cs="Arial"/>
          <w:b/>
          <w:bCs/>
          <w:kern w:val="2"/>
          <w:sz w:val="24"/>
          <w:szCs w:val="24"/>
        </w:rPr>
      </w:pPr>
    </w:p>
    <w:p w14:paraId="61A24FFD" w14:textId="77777777" w:rsidR="004850D2" w:rsidRDefault="00000000">
      <w:pPr>
        <w:widowControl/>
        <w:jc w:val="center"/>
        <w:rPr>
          <w:rFonts w:ascii="Arial" w:eastAsia="Arial" w:hAnsi="Arial" w:cs="Arial"/>
          <w:b/>
          <w:bCs/>
          <w:kern w:val="2"/>
          <w:sz w:val="28"/>
          <w:szCs w:val="28"/>
        </w:rPr>
      </w:pPr>
      <w:r>
        <w:rPr>
          <w:rFonts w:ascii="Arial" w:hAnsi="Arial"/>
          <w:b/>
          <w:bCs/>
          <w:kern w:val="2"/>
          <w:sz w:val="28"/>
          <w:szCs w:val="28"/>
        </w:rPr>
        <w:t xml:space="preserve">Milano Art Week: Clearwater International ospita la mostra </w:t>
      </w:r>
    </w:p>
    <w:p w14:paraId="2AE38D74" w14:textId="77777777" w:rsidR="004850D2" w:rsidRDefault="00000000">
      <w:pPr>
        <w:widowControl/>
        <w:jc w:val="center"/>
        <w:rPr>
          <w:rFonts w:ascii="Arial" w:eastAsia="Arial" w:hAnsi="Arial" w:cs="Arial"/>
          <w:b/>
          <w:bCs/>
          <w:kern w:val="2"/>
          <w:sz w:val="28"/>
          <w:szCs w:val="28"/>
        </w:rPr>
      </w:pPr>
      <w:r>
        <w:rPr>
          <w:rFonts w:ascii="Arial" w:hAnsi="Arial"/>
          <w:b/>
          <w:bCs/>
          <w:kern w:val="2"/>
          <w:sz w:val="28"/>
          <w:szCs w:val="28"/>
        </w:rPr>
        <w:t>“Se tutto bruciasse” di Alessandro Calabrese</w:t>
      </w:r>
    </w:p>
    <w:p w14:paraId="76B66E3C" w14:textId="77777777" w:rsidR="004850D2" w:rsidRPr="00D44167" w:rsidRDefault="004850D2">
      <w:pPr>
        <w:widowControl/>
        <w:rPr>
          <w:rFonts w:ascii="Arial" w:eastAsia="Arial" w:hAnsi="Arial" w:cs="Arial"/>
          <w:b/>
          <w:bCs/>
          <w:kern w:val="2"/>
          <w:sz w:val="28"/>
          <w:szCs w:val="28"/>
        </w:rPr>
      </w:pPr>
    </w:p>
    <w:p w14:paraId="4FAFDE7E" w14:textId="77777777" w:rsidR="004850D2" w:rsidRDefault="00000000">
      <w:pPr>
        <w:widowControl/>
        <w:jc w:val="center"/>
        <w:rPr>
          <w:rFonts w:ascii="Arial" w:eastAsia="Arial" w:hAnsi="Arial" w:cs="Arial"/>
          <w:i/>
          <w:iCs/>
          <w:kern w:val="2"/>
          <w:sz w:val="24"/>
          <w:szCs w:val="24"/>
        </w:rPr>
      </w:pPr>
      <w:r>
        <w:rPr>
          <w:rFonts w:ascii="Arial" w:hAnsi="Arial"/>
          <w:i/>
          <w:iCs/>
          <w:kern w:val="2"/>
          <w:sz w:val="24"/>
          <w:szCs w:val="24"/>
        </w:rPr>
        <w:t xml:space="preserve">Per l’occasione, gli uffici milanesi della società aprono al pubblico dal 10 aprile al 31 maggio, dal lunedì al venerdì. Apertura straordinaria nel </w:t>
      </w:r>
      <w:proofErr w:type="gramStart"/>
      <w:r>
        <w:rPr>
          <w:rFonts w:ascii="Arial" w:hAnsi="Arial"/>
          <w:i/>
          <w:iCs/>
          <w:kern w:val="2"/>
          <w:sz w:val="24"/>
          <w:szCs w:val="24"/>
        </w:rPr>
        <w:t>weekend</w:t>
      </w:r>
      <w:proofErr w:type="gramEnd"/>
      <w:r>
        <w:rPr>
          <w:rFonts w:ascii="Arial" w:hAnsi="Arial"/>
          <w:i/>
          <w:iCs/>
          <w:kern w:val="2"/>
          <w:sz w:val="24"/>
          <w:szCs w:val="24"/>
        </w:rPr>
        <w:t xml:space="preserve"> del 13-14 aprile</w:t>
      </w:r>
    </w:p>
    <w:p w14:paraId="28F77ACA" w14:textId="77777777" w:rsidR="004850D2" w:rsidRPr="00D44167" w:rsidRDefault="004850D2">
      <w:pPr>
        <w:widowControl/>
        <w:jc w:val="both"/>
        <w:rPr>
          <w:rFonts w:ascii="Arial" w:eastAsia="Arial" w:hAnsi="Arial" w:cs="Arial"/>
          <w:kern w:val="2"/>
          <w:sz w:val="24"/>
          <w:szCs w:val="24"/>
        </w:rPr>
      </w:pPr>
    </w:p>
    <w:p w14:paraId="392E6A41" w14:textId="51752784" w:rsidR="004850D2" w:rsidRDefault="00000000">
      <w:pPr>
        <w:jc w:val="both"/>
        <w:rPr>
          <w:rFonts w:ascii="Arial" w:eastAsia="Arial" w:hAnsi="Arial" w:cs="Arial"/>
          <w:b/>
          <w:bCs/>
          <w:kern w:val="2"/>
          <w:sz w:val="24"/>
          <w:szCs w:val="24"/>
        </w:rPr>
      </w:pPr>
      <w:r w:rsidRPr="00D44167">
        <w:rPr>
          <w:rFonts w:ascii="Arial" w:hAnsi="Arial"/>
          <w:i/>
          <w:iCs/>
          <w:kern w:val="2"/>
          <w:sz w:val="24"/>
          <w:szCs w:val="24"/>
        </w:rPr>
        <w:t xml:space="preserve">Milano, </w:t>
      </w:r>
      <w:r w:rsidR="00EE1B41">
        <w:rPr>
          <w:rFonts w:ascii="Arial" w:hAnsi="Arial"/>
          <w:i/>
          <w:iCs/>
          <w:kern w:val="2"/>
          <w:sz w:val="24"/>
          <w:szCs w:val="24"/>
        </w:rPr>
        <w:t>aprile</w:t>
      </w:r>
      <w:r w:rsidRPr="00D44167">
        <w:rPr>
          <w:rFonts w:ascii="Arial" w:hAnsi="Arial"/>
          <w:i/>
          <w:iCs/>
          <w:kern w:val="2"/>
          <w:sz w:val="24"/>
          <w:szCs w:val="24"/>
        </w:rPr>
        <w:t xml:space="preserve"> 2024</w:t>
      </w:r>
      <w:r w:rsidRPr="00D44167">
        <w:rPr>
          <w:rFonts w:ascii="Arial" w:hAnsi="Arial"/>
          <w:kern w:val="2"/>
          <w:sz w:val="24"/>
          <w:szCs w:val="24"/>
        </w:rPr>
        <w:t xml:space="preserve"> – Dal 10 aprile al 31 maggio gli uffici milanesi della società di </w:t>
      </w:r>
      <w:proofErr w:type="spellStart"/>
      <w:r w:rsidRPr="00D44167">
        <w:rPr>
          <w:rFonts w:ascii="Arial" w:hAnsi="Arial"/>
          <w:kern w:val="2"/>
          <w:sz w:val="24"/>
          <w:szCs w:val="24"/>
        </w:rPr>
        <w:t>advisory</w:t>
      </w:r>
      <w:proofErr w:type="spellEnd"/>
      <w:r w:rsidRPr="00D44167">
        <w:rPr>
          <w:rFonts w:ascii="Arial" w:hAnsi="Arial"/>
          <w:kern w:val="2"/>
          <w:sz w:val="24"/>
          <w:szCs w:val="24"/>
        </w:rPr>
        <w:t xml:space="preserve"> </w:t>
      </w:r>
      <w:r w:rsidRPr="00D44167">
        <w:rPr>
          <w:rFonts w:ascii="Arial" w:hAnsi="Arial"/>
          <w:b/>
          <w:bCs/>
          <w:kern w:val="2"/>
          <w:sz w:val="24"/>
          <w:szCs w:val="24"/>
        </w:rPr>
        <w:t>Clearwater International</w:t>
      </w:r>
      <w:r>
        <w:rPr>
          <w:rFonts w:ascii="Arial" w:hAnsi="Arial"/>
          <w:b/>
          <w:bCs/>
          <w:kern w:val="2"/>
          <w:sz w:val="24"/>
          <w:szCs w:val="24"/>
        </w:rPr>
        <w:t xml:space="preserve"> </w:t>
      </w:r>
      <w:r>
        <w:rPr>
          <w:rFonts w:ascii="Arial" w:hAnsi="Arial"/>
          <w:kern w:val="2"/>
          <w:sz w:val="24"/>
          <w:szCs w:val="24"/>
        </w:rPr>
        <w:t>ospitano la mostra “</w:t>
      </w:r>
      <w:r>
        <w:rPr>
          <w:rFonts w:ascii="Arial" w:hAnsi="Arial"/>
          <w:b/>
          <w:bCs/>
          <w:kern w:val="2"/>
          <w:sz w:val="24"/>
          <w:szCs w:val="24"/>
        </w:rPr>
        <w:t>Se tutto bruciasse”</w:t>
      </w:r>
      <w:r>
        <w:rPr>
          <w:rFonts w:ascii="Arial" w:hAnsi="Arial"/>
          <w:kern w:val="2"/>
          <w:sz w:val="24"/>
          <w:szCs w:val="24"/>
        </w:rPr>
        <w:t xml:space="preserve"> di </w:t>
      </w:r>
      <w:r>
        <w:rPr>
          <w:rFonts w:ascii="Arial" w:hAnsi="Arial"/>
          <w:b/>
          <w:bCs/>
          <w:kern w:val="2"/>
          <w:sz w:val="24"/>
          <w:szCs w:val="24"/>
        </w:rPr>
        <w:t>Alessandro Calabrese</w:t>
      </w:r>
      <w:r>
        <w:rPr>
          <w:rFonts w:ascii="Arial" w:hAnsi="Arial"/>
          <w:kern w:val="2"/>
          <w:sz w:val="24"/>
          <w:szCs w:val="24"/>
        </w:rPr>
        <w:t xml:space="preserve"> (Trento, 1983), a cura di </w:t>
      </w:r>
      <w:r>
        <w:rPr>
          <w:rFonts w:ascii="Arial" w:hAnsi="Arial"/>
          <w:b/>
          <w:bCs/>
          <w:kern w:val="2"/>
          <w:sz w:val="24"/>
          <w:szCs w:val="24"/>
        </w:rPr>
        <w:t xml:space="preserve">Francesca </w:t>
      </w:r>
      <w:proofErr w:type="spellStart"/>
      <w:r>
        <w:rPr>
          <w:rFonts w:ascii="Arial" w:hAnsi="Arial"/>
          <w:b/>
          <w:bCs/>
          <w:kern w:val="2"/>
          <w:sz w:val="24"/>
          <w:szCs w:val="24"/>
        </w:rPr>
        <w:t>Interlenghi</w:t>
      </w:r>
      <w:proofErr w:type="spellEnd"/>
      <w:r>
        <w:rPr>
          <w:rFonts w:ascii="Arial" w:hAnsi="Arial"/>
          <w:b/>
          <w:bCs/>
          <w:kern w:val="2"/>
          <w:sz w:val="24"/>
          <w:szCs w:val="24"/>
        </w:rPr>
        <w:t xml:space="preserve"> e in collaborazione con la galleria d’arte contemporanea </w:t>
      </w:r>
      <w:proofErr w:type="spellStart"/>
      <w:r>
        <w:rPr>
          <w:rFonts w:ascii="Arial" w:hAnsi="Arial"/>
          <w:b/>
          <w:bCs/>
          <w:kern w:val="2"/>
          <w:sz w:val="24"/>
          <w:szCs w:val="24"/>
        </w:rPr>
        <w:t>Viasaterna</w:t>
      </w:r>
      <w:proofErr w:type="spellEnd"/>
      <w:r>
        <w:rPr>
          <w:rFonts w:ascii="Arial" w:hAnsi="Arial"/>
          <w:b/>
          <w:bCs/>
          <w:kern w:val="2"/>
          <w:sz w:val="24"/>
          <w:szCs w:val="24"/>
        </w:rPr>
        <w:t>.</w:t>
      </w:r>
    </w:p>
    <w:p w14:paraId="44AF1568" w14:textId="77777777" w:rsidR="004850D2" w:rsidRPr="00D44167" w:rsidRDefault="004850D2">
      <w:pPr>
        <w:jc w:val="both"/>
        <w:rPr>
          <w:rFonts w:ascii="Arial" w:eastAsia="Arial" w:hAnsi="Arial" w:cs="Arial"/>
          <w:b/>
          <w:bCs/>
          <w:kern w:val="2"/>
          <w:sz w:val="24"/>
          <w:szCs w:val="24"/>
        </w:rPr>
      </w:pPr>
    </w:p>
    <w:p w14:paraId="0BD50FCD" w14:textId="19DC87B4" w:rsidR="004850D2" w:rsidRDefault="00000000">
      <w:pPr>
        <w:jc w:val="both"/>
        <w:rPr>
          <w:rFonts w:ascii="Arial" w:eastAsia="Arial" w:hAnsi="Arial" w:cs="Arial"/>
          <w:kern w:val="2"/>
          <w:sz w:val="24"/>
          <w:szCs w:val="24"/>
        </w:rPr>
      </w:pPr>
      <w:r>
        <w:rPr>
          <w:rFonts w:ascii="Arial" w:hAnsi="Arial"/>
          <w:kern w:val="2"/>
          <w:sz w:val="24"/>
          <w:szCs w:val="24"/>
        </w:rPr>
        <w:t xml:space="preserve">Il progetto espositivo raccoglie </w:t>
      </w:r>
      <w:r>
        <w:rPr>
          <w:rFonts w:ascii="Arial" w:hAnsi="Arial"/>
          <w:b/>
          <w:bCs/>
          <w:kern w:val="2"/>
          <w:sz w:val="24"/>
          <w:szCs w:val="24"/>
        </w:rPr>
        <w:t xml:space="preserve">12 opere fotografiche, </w:t>
      </w:r>
      <w:r>
        <w:rPr>
          <w:rFonts w:ascii="Arial" w:hAnsi="Arial"/>
          <w:kern w:val="2"/>
          <w:sz w:val="24"/>
          <w:szCs w:val="24"/>
        </w:rPr>
        <w:t>che indagano il modo di produzione delle immagini, la loro proliferazione bulimica, il tema dell’inconscio tecnologico e il ruolo del caso nel processo di esecuzione. La riflessione, condotta dall’artista attraverso la rivisitazione in chiave contemporanea della Pittura di genere, iniziata nel 2021 con la serie «</w:t>
      </w:r>
      <w:proofErr w:type="spellStart"/>
      <w:r>
        <w:rPr>
          <w:rFonts w:ascii="Arial" w:hAnsi="Arial"/>
          <w:kern w:val="2"/>
          <w:sz w:val="24"/>
          <w:szCs w:val="24"/>
        </w:rPr>
        <w:t>Hierarchy</w:t>
      </w:r>
      <w:proofErr w:type="spellEnd"/>
      <w:r>
        <w:rPr>
          <w:rFonts w:ascii="Arial" w:hAnsi="Arial"/>
          <w:kern w:val="2"/>
          <w:sz w:val="24"/>
          <w:szCs w:val="24"/>
        </w:rPr>
        <w:t xml:space="preserve"> of </w:t>
      </w:r>
      <w:proofErr w:type="spellStart"/>
      <w:r>
        <w:rPr>
          <w:rFonts w:ascii="Arial" w:hAnsi="Arial"/>
          <w:kern w:val="2"/>
          <w:sz w:val="24"/>
          <w:szCs w:val="24"/>
        </w:rPr>
        <w:t>Genres</w:t>
      </w:r>
      <w:proofErr w:type="spellEnd"/>
      <w:r>
        <w:rPr>
          <w:rFonts w:ascii="Arial" w:hAnsi="Arial"/>
          <w:kern w:val="2"/>
          <w:sz w:val="24"/>
          <w:szCs w:val="24"/>
        </w:rPr>
        <w:t xml:space="preserve">», dà conto della sua pratica peculiare. Calabrese </w:t>
      </w:r>
      <w:r w:rsidR="00D44167">
        <w:rPr>
          <w:rFonts w:ascii="Arial" w:hAnsi="Arial"/>
          <w:kern w:val="2"/>
          <w:sz w:val="24"/>
          <w:szCs w:val="24"/>
        </w:rPr>
        <w:t>parte, infatti,</w:t>
      </w:r>
      <w:r>
        <w:rPr>
          <w:rFonts w:ascii="Arial" w:hAnsi="Arial"/>
          <w:kern w:val="2"/>
          <w:sz w:val="24"/>
          <w:szCs w:val="24"/>
        </w:rPr>
        <w:t xml:space="preserve"> da un archivio di immagini da lui stesso realizzate, ottenute da fotogrammi di film in cui le persone si abbracciano e da fotografie con composizioni floreali, stampate in formato A4, su carta fotografica lucida, dal lato sbagliato. Questo fa si che l’inchiostro non penetri nella fibra della carta, costringendo la rappresentazione in un limbo latente, temporaneo ed instabile. L’unico modo per dare permanenza e fissare la composizione è di fotografarla nuovamente, riprodurla meccanicamente, con esiti di vibrante cromatismo e forte accento pittorico.</w:t>
      </w:r>
    </w:p>
    <w:p w14:paraId="07CBD6DC" w14:textId="77777777" w:rsidR="004850D2" w:rsidRPr="00D44167" w:rsidRDefault="004850D2">
      <w:pPr>
        <w:jc w:val="both"/>
        <w:rPr>
          <w:rFonts w:ascii="Arial" w:eastAsia="Arial" w:hAnsi="Arial" w:cs="Arial"/>
          <w:kern w:val="2"/>
          <w:sz w:val="24"/>
          <w:szCs w:val="24"/>
        </w:rPr>
      </w:pPr>
    </w:p>
    <w:p w14:paraId="31FE6FEB" w14:textId="77777777" w:rsidR="004850D2" w:rsidRDefault="00000000">
      <w:pPr>
        <w:jc w:val="both"/>
        <w:rPr>
          <w:rFonts w:ascii="Arial" w:eastAsia="Arial" w:hAnsi="Arial" w:cs="Arial"/>
          <w:i/>
          <w:iCs/>
          <w:kern w:val="2"/>
          <w:sz w:val="24"/>
          <w:szCs w:val="24"/>
        </w:rPr>
      </w:pPr>
      <w:r>
        <w:rPr>
          <w:rFonts w:ascii="Arial" w:hAnsi="Arial"/>
          <w:kern w:val="2"/>
          <w:sz w:val="24"/>
          <w:szCs w:val="24"/>
        </w:rPr>
        <w:t xml:space="preserve">Spiega </w:t>
      </w:r>
      <w:r>
        <w:rPr>
          <w:rFonts w:ascii="Arial" w:hAnsi="Arial"/>
          <w:b/>
          <w:bCs/>
          <w:kern w:val="2"/>
          <w:sz w:val="24"/>
          <w:szCs w:val="24"/>
        </w:rPr>
        <w:t>la curatrice</w:t>
      </w:r>
      <w:r>
        <w:rPr>
          <w:rFonts w:ascii="Arial" w:hAnsi="Arial"/>
          <w:kern w:val="2"/>
          <w:sz w:val="24"/>
          <w:szCs w:val="24"/>
        </w:rPr>
        <w:t xml:space="preserve">: </w:t>
      </w:r>
      <w:r>
        <w:rPr>
          <w:rFonts w:ascii="Arial" w:hAnsi="Arial"/>
          <w:i/>
          <w:iCs/>
          <w:kern w:val="2"/>
          <w:sz w:val="24"/>
          <w:szCs w:val="24"/>
        </w:rPr>
        <w:t>“Il titolo della mostra sottende una riflessione che non è solo di ordine estetico ma anche, e soprattutto, di carattere etico perché ricolloca le nostre azioni all’interno di un ecosistema che implica nuovi parametri, rivelando la necessità di rinegoziare i termini della nostra presenza nel mondo. Se tutto bruciasse allora, quale tra i molteplici scatti di cui siamo quotidianamente autori vorremmo salvare? Quale vorremmo conservare a testimonianza della nostra identità?”</w:t>
      </w:r>
    </w:p>
    <w:p w14:paraId="0918547B" w14:textId="77777777" w:rsidR="004850D2" w:rsidRPr="00D44167" w:rsidRDefault="004850D2">
      <w:pPr>
        <w:jc w:val="both"/>
        <w:rPr>
          <w:rFonts w:ascii="Arial" w:eastAsia="Arial" w:hAnsi="Arial" w:cs="Arial"/>
          <w:kern w:val="2"/>
          <w:sz w:val="24"/>
          <w:szCs w:val="24"/>
        </w:rPr>
      </w:pPr>
    </w:p>
    <w:p w14:paraId="056D9874" w14:textId="77777777" w:rsidR="004850D2" w:rsidRDefault="00000000">
      <w:pPr>
        <w:jc w:val="both"/>
        <w:rPr>
          <w:rFonts w:ascii="Arial" w:eastAsia="Arial" w:hAnsi="Arial" w:cs="Arial"/>
          <w:kern w:val="2"/>
          <w:sz w:val="24"/>
          <w:szCs w:val="24"/>
        </w:rPr>
      </w:pPr>
      <w:r>
        <w:rPr>
          <w:rFonts w:ascii="Arial" w:hAnsi="Arial"/>
          <w:kern w:val="2"/>
          <w:sz w:val="24"/>
          <w:szCs w:val="24"/>
        </w:rPr>
        <w:t>Da sempre interessato ad esplorare l’articolato sistema delle relazioni umane e rielaborando in chiave artistica i valori distintivi di Clearwater International - tra cui la trasparenza, la fiducia, la collaborazione, il reciproco rispetto, la flessibilità nell’affrontare il cambiamento e il costante impegno nel coltivare le imprese - l’artista ha realizzato per l’occasione un’</w:t>
      </w:r>
      <w:r>
        <w:rPr>
          <w:rFonts w:ascii="Arial" w:hAnsi="Arial"/>
          <w:b/>
          <w:bCs/>
          <w:kern w:val="2"/>
          <w:sz w:val="24"/>
          <w:szCs w:val="24"/>
        </w:rPr>
        <w:t>installazione neon site-</w:t>
      </w:r>
      <w:proofErr w:type="spellStart"/>
      <w:r>
        <w:rPr>
          <w:rFonts w:ascii="Arial" w:hAnsi="Arial"/>
          <w:b/>
          <w:bCs/>
          <w:kern w:val="2"/>
          <w:sz w:val="24"/>
          <w:szCs w:val="24"/>
        </w:rPr>
        <w:t>specific</w:t>
      </w:r>
      <w:proofErr w:type="spellEnd"/>
      <w:r>
        <w:rPr>
          <w:rFonts w:ascii="Arial" w:hAnsi="Arial"/>
          <w:kern w:val="2"/>
          <w:sz w:val="24"/>
          <w:szCs w:val="24"/>
        </w:rPr>
        <w:t>. La scritta “</w:t>
      </w:r>
      <w:r>
        <w:rPr>
          <w:rFonts w:ascii="Arial" w:hAnsi="Arial"/>
          <w:i/>
          <w:iCs/>
          <w:kern w:val="2"/>
          <w:sz w:val="24"/>
          <w:szCs w:val="24"/>
        </w:rPr>
        <w:t>Fare le cose per bene è l’ultima linea di resistenza</w:t>
      </w:r>
      <w:r>
        <w:rPr>
          <w:rFonts w:ascii="Arial" w:hAnsi="Arial"/>
          <w:kern w:val="2"/>
          <w:sz w:val="24"/>
          <w:szCs w:val="24"/>
        </w:rPr>
        <w:t>” (2024), acquisita dalla società, costituisce il primo tassello di una progettualità a lungo termine, incipit di un sodalizio virtuoso e continuativo che il gruppo intende istituire tra arte e impresa.</w:t>
      </w:r>
    </w:p>
    <w:p w14:paraId="587E3C3B" w14:textId="77777777" w:rsidR="004850D2" w:rsidRDefault="004850D2">
      <w:pPr>
        <w:jc w:val="both"/>
        <w:rPr>
          <w:kern w:val="2"/>
        </w:rPr>
      </w:pPr>
    </w:p>
    <w:p w14:paraId="7DD99612" w14:textId="77777777" w:rsidR="004850D2" w:rsidRDefault="00000000">
      <w:pPr>
        <w:widowControl/>
        <w:jc w:val="both"/>
        <w:rPr>
          <w:rFonts w:ascii="Arial" w:eastAsia="Arial" w:hAnsi="Arial" w:cs="Arial"/>
          <w:kern w:val="2"/>
          <w:sz w:val="24"/>
          <w:szCs w:val="24"/>
        </w:rPr>
      </w:pPr>
      <w:r>
        <w:rPr>
          <w:rFonts w:ascii="Arial" w:hAnsi="Arial"/>
          <w:i/>
          <w:iCs/>
          <w:kern w:val="2"/>
          <w:sz w:val="24"/>
          <w:szCs w:val="24"/>
        </w:rPr>
        <w:t xml:space="preserve">“Vogliamo che i nostri uffici non siano solo un luogo di lavoro, ma anche uno spazio di contaminazione e scambio di idee. Per questo, in occasione della Milano Art Week 2024, abbiamo accolto tra le nostre mura l'arte contemporanea, capace di stimolare innovazione, progresso e benessere all’interno e all’esterno dell’azienda” </w:t>
      </w:r>
      <w:r>
        <w:rPr>
          <w:rFonts w:ascii="Arial" w:hAnsi="Arial"/>
          <w:kern w:val="2"/>
          <w:sz w:val="24"/>
          <w:szCs w:val="24"/>
        </w:rPr>
        <w:t xml:space="preserve">afferma </w:t>
      </w:r>
      <w:r>
        <w:rPr>
          <w:rFonts w:ascii="Arial" w:hAnsi="Arial"/>
          <w:b/>
          <w:bCs/>
          <w:kern w:val="2"/>
          <w:sz w:val="24"/>
          <w:szCs w:val="24"/>
        </w:rPr>
        <w:t xml:space="preserve">Alexandre Perrucci, </w:t>
      </w:r>
      <w:proofErr w:type="spellStart"/>
      <w:r>
        <w:rPr>
          <w:rFonts w:ascii="Arial" w:hAnsi="Arial"/>
          <w:b/>
          <w:bCs/>
          <w:kern w:val="2"/>
          <w:sz w:val="24"/>
          <w:szCs w:val="24"/>
        </w:rPr>
        <w:lastRenderedPageBreak/>
        <w:t>Managing</w:t>
      </w:r>
      <w:proofErr w:type="spellEnd"/>
      <w:r>
        <w:rPr>
          <w:rFonts w:ascii="Arial" w:hAnsi="Arial"/>
          <w:b/>
          <w:bCs/>
          <w:kern w:val="2"/>
          <w:sz w:val="24"/>
          <w:szCs w:val="24"/>
        </w:rPr>
        <w:t xml:space="preserve"> Partner</w:t>
      </w:r>
      <w:r>
        <w:rPr>
          <w:rFonts w:ascii="Arial" w:hAnsi="Arial"/>
          <w:kern w:val="2"/>
          <w:sz w:val="24"/>
          <w:szCs w:val="24"/>
        </w:rPr>
        <w:t xml:space="preserve"> </w:t>
      </w:r>
      <w:r>
        <w:rPr>
          <w:rFonts w:ascii="Arial" w:hAnsi="Arial"/>
          <w:b/>
          <w:bCs/>
          <w:kern w:val="2"/>
          <w:sz w:val="24"/>
          <w:szCs w:val="24"/>
        </w:rPr>
        <w:t>di Clearwater International in Italia.</w:t>
      </w:r>
      <w:r>
        <w:rPr>
          <w:rFonts w:ascii="Arial" w:hAnsi="Arial"/>
          <w:i/>
          <w:iCs/>
          <w:kern w:val="2"/>
          <w:sz w:val="24"/>
          <w:szCs w:val="24"/>
        </w:rPr>
        <w:t xml:space="preserve"> “Ringraziamo Alessandro Calabrese, che ha saputo dare forma fisica ai valori aziendali che promuoviamo. Le sue immagini evocative spingono alla riflessione e danno vita a un ambiente di lavoro e stimolano la condivisione, la creatività e la socialità. A questa prima iniziativa ne seguiranno altre, rafforzando il senso di appartenenza nella nostra community e favorendo l’arricchimento culturale e il benessere dei nostri professionisti”</w:t>
      </w:r>
      <w:r>
        <w:rPr>
          <w:rFonts w:ascii="Arial" w:hAnsi="Arial"/>
          <w:kern w:val="2"/>
          <w:sz w:val="24"/>
          <w:szCs w:val="24"/>
        </w:rPr>
        <w:t>.</w:t>
      </w:r>
    </w:p>
    <w:p w14:paraId="1F5F2D4C" w14:textId="77777777" w:rsidR="004850D2" w:rsidRPr="00D44167" w:rsidRDefault="004850D2">
      <w:pPr>
        <w:widowControl/>
        <w:jc w:val="both"/>
        <w:rPr>
          <w:rFonts w:ascii="Arial" w:eastAsia="Arial" w:hAnsi="Arial" w:cs="Arial"/>
          <w:kern w:val="2"/>
          <w:sz w:val="24"/>
          <w:szCs w:val="24"/>
        </w:rPr>
      </w:pPr>
    </w:p>
    <w:p w14:paraId="215980B9" w14:textId="77777777" w:rsidR="004850D2" w:rsidRPr="00D44167" w:rsidRDefault="004850D2">
      <w:pPr>
        <w:widowControl/>
        <w:jc w:val="both"/>
        <w:rPr>
          <w:rFonts w:ascii="Arial" w:eastAsia="Arial" w:hAnsi="Arial" w:cs="Arial"/>
          <w:kern w:val="2"/>
          <w:sz w:val="24"/>
          <w:szCs w:val="24"/>
        </w:rPr>
      </w:pPr>
    </w:p>
    <w:p w14:paraId="01ABF0F5" w14:textId="77777777" w:rsidR="004850D2" w:rsidRPr="00D44167" w:rsidRDefault="004850D2">
      <w:pPr>
        <w:widowControl/>
        <w:jc w:val="both"/>
        <w:rPr>
          <w:rFonts w:ascii="Arial" w:eastAsia="Arial" w:hAnsi="Arial" w:cs="Arial"/>
          <w:kern w:val="2"/>
          <w:sz w:val="24"/>
          <w:szCs w:val="24"/>
        </w:rPr>
      </w:pPr>
    </w:p>
    <w:p w14:paraId="3C479FE0" w14:textId="77777777" w:rsidR="004850D2" w:rsidRDefault="00000000">
      <w:pPr>
        <w:widowControl/>
        <w:jc w:val="both"/>
        <w:rPr>
          <w:rFonts w:ascii="Arial" w:eastAsia="Arial" w:hAnsi="Arial" w:cs="Arial"/>
          <w:b/>
          <w:bCs/>
          <w:kern w:val="2"/>
        </w:rPr>
      </w:pPr>
      <w:r>
        <w:rPr>
          <w:rFonts w:ascii="Arial" w:hAnsi="Arial"/>
          <w:b/>
          <w:bCs/>
          <w:kern w:val="2"/>
        </w:rPr>
        <w:t>Alessandro Calabrese</w:t>
      </w:r>
      <w:r>
        <w:rPr>
          <w:rFonts w:ascii="Arial" w:hAnsi="Arial"/>
          <w:kern w:val="2"/>
        </w:rPr>
        <w:t> (Trento, 1983), laureato in architettura, vive e lavora a Milano, dove insegna presso la NABA – Nuova Accademia di Belle Arti. Nel 2015 il magazine e museo olandese FOAM lo seleziona fra i talenti emergenti internazionali per il suo </w:t>
      </w:r>
      <w:r>
        <w:rPr>
          <w:rFonts w:ascii="Arial" w:hAnsi="Arial"/>
          <w:i/>
          <w:iCs/>
          <w:kern w:val="2"/>
        </w:rPr>
        <w:t xml:space="preserve">A </w:t>
      </w:r>
      <w:proofErr w:type="spellStart"/>
      <w:r>
        <w:rPr>
          <w:rFonts w:ascii="Arial" w:hAnsi="Arial"/>
          <w:i/>
          <w:iCs/>
          <w:kern w:val="2"/>
        </w:rPr>
        <w:t>Failed</w:t>
      </w:r>
      <w:proofErr w:type="spellEnd"/>
      <w:r>
        <w:rPr>
          <w:rFonts w:ascii="Arial" w:hAnsi="Arial"/>
          <w:i/>
          <w:iCs/>
          <w:kern w:val="2"/>
        </w:rPr>
        <w:t xml:space="preserve"> Entertainment</w:t>
      </w:r>
      <w:r>
        <w:rPr>
          <w:rFonts w:ascii="Arial" w:hAnsi="Arial"/>
          <w:kern w:val="2"/>
        </w:rPr>
        <w:t>, con il quale inoltre espone al MACRO di Roma. Nel 2017 presenta la prima personale </w:t>
      </w:r>
      <w:proofErr w:type="spellStart"/>
      <w:r>
        <w:rPr>
          <w:rFonts w:ascii="Arial" w:hAnsi="Arial"/>
          <w:i/>
          <w:iCs/>
          <w:kern w:val="2"/>
        </w:rPr>
        <w:t>Impasse</w:t>
      </w:r>
      <w:r>
        <w:rPr>
          <w:rFonts w:ascii="Arial" w:hAnsi="Arial"/>
          <w:kern w:val="2"/>
        </w:rPr>
        <w:t>presso</w:t>
      </w:r>
      <w:proofErr w:type="spellEnd"/>
      <w:r>
        <w:rPr>
          <w:rFonts w:ascii="Arial" w:hAnsi="Arial"/>
          <w:kern w:val="2"/>
        </w:rPr>
        <w:t xml:space="preserve"> la galleria </w:t>
      </w:r>
      <w:proofErr w:type="spellStart"/>
      <w:r>
        <w:rPr>
          <w:rFonts w:ascii="Arial" w:hAnsi="Arial"/>
          <w:kern w:val="2"/>
        </w:rPr>
        <w:t>Viasaterna</w:t>
      </w:r>
      <w:proofErr w:type="spellEnd"/>
      <w:r>
        <w:rPr>
          <w:rFonts w:ascii="Arial" w:hAnsi="Arial"/>
          <w:kern w:val="2"/>
        </w:rPr>
        <w:t>, in cui viene esposto il corpo di lavoro </w:t>
      </w:r>
      <w:r>
        <w:rPr>
          <w:rFonts w:ascii="Arial" w:hAnsi="Arial"/>
          <w:i/>
          <w:iCs/>
          <w:kern w:val="2"/>
        </w:rPr>
        <w:t xml:space="preserve">The Long </w:t>
      </w:r>
      <w:proofErr w:type="spellStart"/>
      <w:r>
        <w:rPr>
          <w:rFonts w:ascii="Arial" w:hAnsi="Arial"/>
          <w:i/>
          <w:iCs/>
          <w:kern w:val="2"/>
        </w:rPr>
        <w:t>Thing</w:t>
      </w:r>
      <w:proofErr w:type="spellEnd"/>
      <w:r>
        <w:rPr>
          <w:rFonts w:ascii="Arial" w:hAnsi="Arial"/>
          <w:kern w:val="2"/>
        </w:rPr>
        <w:t>, e a cui seguono, tra le altre, le mostre a Palazzo Reale Milano per il Premio Cairo nel 2018 e la collettiva </w:t>
      </w:r>
      <w:r>
        <w:rPr>
          <w:rFonts w:ascii="Arial" w:hAnsi="Arial"/>
          <w:i/>
          <w:iCs/>
          <w:kern w:val="2"/>
        </w:rPr>
        <w:t>After Monet</w:t>
      </w:r>
      <w:r>
        <w:rPr>
          <w:rFonts w:ascii="Arial" w:hAnsi="Arial"/>
          <w:kern w:val="2"/>
        </w:rPr>
        <w:t> al Mart di Rovereto nel 2020. Dopo la mostra </w:t>
      </w:r>
      <w:r>
        <w:rPr>
          <w:rFonts w:ascii="Arial" w:hAnsi="Arial"/>
          <w:i/>
          <w:iCs/>
          <w:kern w:val="2"/>
        </w:rPr>
        <w:t>Are People Flowers?</w:t>
      </w:r>
      <w:r>
        <w:rPr>
          <w:rFonts w:ascii="Arial" w:hAnsi="Arial"/>
          <w:kern w:val="2"/>
        </w:rPr>
        <w:t xml:space="preserve"> presso </w:t>
      </w:r>
      <w:proofErr w:type="spellStart"/>
      <w:r>
        <w:rPr>
          <w:rFonts w:ascii="Arial" w:hAnsi="Arial"/>
          <w:kern w:val="2"/>
        </w:rPr>
        <w:t>Viasaterna</w:t>
      </w:r>
      <w:proofErr w:type="spellEnd"/>
      <w:r>
        <w:rPr>
          <w:rFonts w:ascii="Arial" w:hAnsi="Arial"/>
          <w:kern w:val="2"/>
        </w:rPr>
        <w:t xml:space="preserve"> e la partecipazione alla collettiva </w:t>
      </w:r>
      <w:r>
        <w:rPr>
          <w:rFonts w:ascii="Arial" w:hAnsi="Arial"/>
          <w:i/>
          <w:iCs/>
          <w:kern w:val="2"/>
        </w:rPr>
        <w:t>Milano Piano Zero</w:t>
      </w:r>
      <w:r>
        <w:rPr>
          <w:rFonts w:ascii="Arial" w:hAnsi="Arial"/>
          <w:kern w:val="2"/>
        </w:rPr>
        <w:t> alla Triennale Milano nel 2021, nel 2023 torna a esporre a Palazzo Reale nell’ambito della collettiva </w:t>
      </w:r>
      <w:r>
        <w:rPr>
          <w:rFonts w:ascii="Arial" w:hAnsi="Arial"/>
          <w:i/>
          <w:iCs/>
          <w:kern w:val="2"/>
        </w:rPr>
        <w:t>13 fotografi per 13 musei</w:t>
      </w:r>
      <w:r>
        <w:rPr>
          <w:rFonts w:ascii="Arial" w:hAnsi="Arial"/>
          <w:kern w:val="2"/>
        </w:rPr>
        <w:t>.</w:t>
      </w:r>
    </w:p>
    <w:p w14:paraId="22CD290C" w14:textId="77777777" w:rsidR="004850D2" w:rsidRPr="00D44167" w:rsidRDefault="004850D2">
      <w:pPr>
        <w:widowControl/>
        <w:jc w:val="both"/>
        <w:rPr>
          <w:rFonts w:ascii="Arial" w:eastAsia="Arial" w:hAnsi="Arial" w:cs="Arial"/>
          <w:kern w:val="2"/>
          <w:sz w:val="24"/>
          <w:szCs w:val="24"/>
        </w:rPr>
      </w:pPr>
    </w:p>
    <w:p w14:paraId="33AC8594" w14:textId="77777777" w:rsidR="004850D2" w:rsidRPr="00D44167" w:rsidRDefault="004850D2">
      <w:pPr>
        <w:widowControl/>
        <w:jc w:val="both"/>
        <w:rPr>
          <w:rFonts w:ascii="Arial" w:eastAsia="Arial" w:hAnsi="Arial" w:cs="Arial"/>
          <w:kern w:val="2"/>
          <w:sz w:val="24"/>
          <w:szCs w:val="24"/>
        </w:rPr>
      </w:pPr>
    </w:p>
    <w:p w14:paraId="7C8D5EE5" w14:textId="77777777" w:rsidR="004850D2" w:rsidRDefault="00000000">
      <w:pPr>
        <w:rPr>
          <w:rFonts w:ascii="Arial" w:eastAsia="Arial" w:hAnsi="Arial" w:cs="Arial"/>
          <w:color w:val="212121"/>
          <w:sz w:val="24"/>
          <w:szCs w:val="24"/>
          <w:u w:color="212121"/>
        </w:rPr>
      </w:pPr>
      <w:r>
        <w:rPr>
          <w:rFonts w:ascii="Arial" w:hAnsi="Arial"/>
          <w:i/>
          <w:iCs/>
          <w:sz w:val="24"/>
          <w:szCs w:val="24"/>
        </w:rPr>
        <w:t>Se tutto bruciasse</w:t>
      </w:r>
    </w:p>
    <w:p w14:paraId="567E791E" w14:textId="77777777" w:rsidR="004850D2" w:rsidRDefault="00000000">
      <w:pPr>
        <w:rPr>
          <w:rFonts w:ascii="Arial" w:eastAsia="Arial" w:hAnsi="Arial" w:cs="Arial"/>
          <w:sz w:val="24"/>
          <w:szCs w:val="24"/>
        </w:rPr>
      </w:pPr>
      <w:r>
        <w:rPr>
          <w:rFonts w:ascii="Arial" w:hAnsi="Arial"/>
          <w:sz w:val="24"/>
          <w:szCs w:val="24"/>
        </w:rPr>
        <w:t xml:space="preserve">Mostra di Alessandro Calabrese </w:t>
      </w:r>
    </w:p>
    <w:p w14:paraId="4CF94C63" w14:textId="77777777" w:rsidR="004850D2" w:rsidRDefault="00000000">
      <w:pPr>
        <w:rPr>
          <w:rFonts w:ascii="Arial" w:eastAsia="Arial" w:hAnsi="Arial" w:cs="Arial"/>
          <w:sz w:val="24"/>
          <w:szCs w:val="24"/>
        </w:rPr>
      </w:pPr>
      <w:r>
        <w:rPr>
          <w:rFonts w:ascii="Arial" w:hAnsi="Arial"/>
          <w:sz w:val="24"/>
          <w:szCs w:val="24"/>
        </w:rPr>
        <w:t xml:space="preserve">A cura di Francesca </w:t>
      </w:r>
      <w:proofErr w:type="spellStart"/>
      <w:r>
        <w:rPr>
          <w:rFonts w:ascii="Arial" w:hAnsi="Arial"/>
          <w:sz w:val="24"/>
          <w:szCs w:val="24"/>
        </w:rPr>
        <w:t>Interlenghi</w:t>
      </w:r>
      <w:proofErr w:type="spellEnd"/>
    </w:p>
    <w:p w14:paraId="12F45FAA" w14:textId="77777777" w:rsidR="004850D2" w:rsidRDefault="00000000">
      <w:pPr>
        <w:rPr>
          <w:rFonts w:ascii="Arial" w:eastAsia="Arial" w:hAnsi="Arial" w:cs="Arial"/>
          <w:color w:val="212121"/>
          <w:sz w:val="24"/>
          <w:szCs w:val="24"/>
          <w:u w:color="212121"/>
        </w:rPr>
      </w:pPr>
      <w:r>
        <w:rPr>
          <w:rFonts w:ascii="Arial" w:hAnsi="Arial"/>
          <w:sz w:val="24"/>
          <w:szCs w:val="24"/>
        </w:rPr>
        <w:t xml:space="preserve">In collaborazione con </w:t>
      </w:r>
      <w:proofErr w:type="spellStart"/>
      <w:r>
        <w:rPr>
          <w:rFonts w:ascii="Arial" w:hAnsi="Arial"/>
          <w:sz w:val="24"/>
          <w:szCs w:val="24"/>
        </w:rPr>
        <w:t>Viasaterna</w:t>
      </w:r>
      <w:proofErr w:type="spellEnd"/>
      <w:r>
        <w:rPr>
          <w:rFonts w:ascii="Arial" w:hAnsi="Arial"/>
          <w:sz w:val="24"/>
          <w:szCs w:val="24"/>
        </w:rPr>
        <w:t xml:space="preserve"> </w:t>
      </w:r>
    </w:p>
    <w:p w14:paraId="4406AD3D" w14:textId="77777777" w:rsidR="004850D2" w:rsidRDefault="00000000">
      <w:pPr>
        <w:rPr>
          <w:rFonts w:ascii="Arial" w:eastAsia="Arial" w:hAnsi="Arial" w:cs="Arial"/>
          <w:color w:val="212121"/>
          <w:sz w:val="24"/>
          <w:szCs w:val="24"/>
          <w:u w:color="212121"/>
        </w:rPr>
      </w:pPr>
      <w:r>
        <w:rPr>
          <w:rFonts w:ascii="Arial" w:hAnsi="Arial"/>
          <w:sz w:val="24"/>
          <w:szCs w:val="24"/>
        </w:rPr>
        <w:t> </w:t>
      </w:r>
    </w:p>
    <w:p w14:paraId="4F30C4A4" w14:textId="77777777" w:rsidR="004850D2" w:rsidRDefault="00000000">
      <w:pPr>
        <w:rPr>
          <w:rFonts w:ascii="Arial" w:eastAsia="Arial" w:hAnsi="Arial" w:cs="Arial"/>
          <w:color w:val="212121"/>
          <w:sz w:val="24"/>
          <w:szCs w:val="24"/>
          <w:u w:color="212121"/>
        </w:rPr>
      </w:pPr>
      <w:r>
        <w:rPr>
          <w:rFonts w:ascii="Arial" w:hAnsi="Arial"/>
          <w:sz w:val="24"/>
          <w:szCs w:val="24"/>
        </w:rPr>
        <w:t>Milano, 10 aprile – 31 maggio 2024</w:t>
      </w:r>
    </w:p>
    <w:p w14:paraId="1CF4AC5C" w14:textId="77777777" w:rsidR="004850D2" w:rsidRDefault="00000000">
      <w:pPr>
        <w:rPr>
          <w:rFonts w:ascii="Arial" w:eastAsia="Arial" w:hAnsi="Arial" w:cs="Arial"/>
          <w:color w:val="212121"/>
          <w:sz w:val="24"/>
          <w:szCs w:val="24"/>
          <w:u w:color="212121"/>
        </w:rPr>
      </w:pPr>
      <w:r>
        <w:rPr>
          <w:rFonts w:ascii="Arial" w:hAnsi="Arial"/>
          <w:sz w:val="24"/>
          <w:szCs w:val="24"/>
        </w:rPr>
        <w:t>Clearwater International – via Agnello 8</w:t>
      </w:r>
    </w:p>
    <w:p w14:paraId="718504A9" w14:textId="77777777" w:rsidR="004850D2" w:rsidRDefault="00000000">
      <w:pPr>
        <w:rPr>
          <w:rFonts w:ascii="Arial" w:eastAsia="Arial" w:hAnsi="Arial" w:cs="Arial"/>
          <w:sz w:val="24"/>
          <w:szCs w:val="24"/>
        </w:rPr>
      </w:pPr>
      <w:r>
        <w:rPr>
          <w:rFonts w:ascii="Arial" w:hAnsi="Arial"/>
          <w:sz w:val="24"/>
          <w:szCs w:val="24"/>
        </w:rPr>
        <w:t>Da lunedì a venerdì, dalle 16.00 alle 19.00</w:t>
      </w:r>
    </w:p>
    <w:p w14:paraId="1710ACED" w14:textId="77777777" w:rsidR="004850D2" w:rsidRDefault="00000000">
      <w:pPr>
        <w:rPr>
          <w:rFonts w:ascii="Arial" w:eastAsia="Arial" w:hAnsi="Arial" w:cs="Arial"/>
          <w:color w:val="212121"/>
          <w:sz w:val="24"/>
          <w:szCs w:val="24"/>
          <w:u w:color="212121"/>
        </w:rPr>
      </w:pPr>
      <w:r>
        <w:rPr>
          <w:rFonts w:ascii="Arial" w:hAnsi="Arial"/>
          <w:sz w:val="24"/>
          <w:szCs w:val="24"/>
        </w:rPr>
        <w:t>Sabato 13 e domenica 14 aprile dalle 11 alle 20</w:t>
      </w:r>
    </w:p>
    <w:p w14:paraId="75C6B85E" w14:textId="77777777" w:rsidR="004850D2" w:rsidRPr="00D44167" w:rsidRDefault="004850D2">
      <w:pPr>
        <w:widowControl/>
        <w:jc w:val="both"/>
        <w:rPr>
          <w:rFonts w:ascii="Arial" w:eastAsia="Arial" w:hAnsi="Arial" w:cs="Arial"/>
          <w:kern w:val="2"/>
          <w:sz w:val="24"/>
          <w:szCs w:val="24"/>
          <w:shd w:val="clear" w:color="auto" w:fill="FFFF00"/>
        </w:rPr>
      </w:pPr>
    </w:p>
    <w:p w14:paraId="639BD7CC" w14:textId="77777777" w:rsidR="004850D2" w:rsidRPr="00D44167" w:rsidRDefault="004850D2">
      <w:pPr>
        <w:widowControl/>
        <w:jc w:val="both"/>
        <w:rPr>
          <w:rFonts w:ascii="Arial" w:eastAsia="Arial" w:hAnsi="Arial" w:cs="Arial"/>
          <w:kern w:val="2"/>
          <w:sz w:val="24"/>
          <w:szCs w:val="24"/>
        </w:rPr>
      </w:pPr>
    </w:p>
    <w:p w14:paraId="6CB28B4B" w14:textId="77777777" w:rsidR="004850D2" w:rsidRDefault="00000000" w:rsidP="00D44167">
      <w:pPr>
        <w:pStyle w:val="NormaleWeb"/>
        <w:spacing w:before="0" w:after="0"/>
        <w:ind w:right="340"/>
        <w:jc w:val="both"/>
        <w:rPr>
          <w:rFonts w:ascii="Arial" w:eastAsia="Arial" w:hAnsi="Arial" w:cs="Arial"/>
          <w:b/>
          <w:bCs/>
          <w:sz w:val="20"/>
          <w:szCs w:val="20"/>
        </w:rPr>
      </w:pPr>
      <w:r>
        <w:rPr>
          <w:rFonts w:ascii="Arial" w:hAnsi="Arial"/>
          <w:b/>
          <w:bCs/>
          <w:sz w:val="20"/>
          <w:szCs w:val="20"/>
        </w:rPr>
        <w:t>Clearwater International</w:t>
      </w:r>
    </w:p>
    <w:p w14:paraId="65E2E653" w14:textId="3C4ECB20" w:rsidR="004850D2" w:rsidRPr="00D44167" w:rsidRDefault="00000000" w:rsidP="00D44167">
      <w:pPr>
        <w:pStyle w:val="NormaleWeb"/>
        <w:spacing w:before="0" w:after="0"/>
        <w:ind w:right="340"/>
        <w:jc w:val="both"/>
        <w:rPr>
          <w:rFonts w:ascii="Arial" w:eastAsia="Arial" w:hAnsi="Arial" w:cs="Arial"/>
          <w:sz w:val="18"/>
          <w:szCs w:val="18"/>
        </w:rPr>
      </w:pPr>
      <w:r>
        <w:rPr>
          <w:rFonts w:ascii="Arial" w:hAnsi="Arial"/>
          <w:sz w:val="18"/>
          <w:szCs w:val="18"/>
        </w:rPr>
        <w:t>Clearwater International è un Gruppo leader nell’</w:t>
      </w:r>
      <w:proofErr w:type="spellStart"/>
      <w:r>
        <w:rPr>
          <w:rFonts w:ascii="Arial" w:hAnsi="Arial"/>
          <w:sz w:val="18"/>
          <w:szCs w:val="18"/>
        </w:rPr>
        <w:t>Advisory</w:t>
      </w:r>
      <w:proofErr w:type="spellEnd"/>
      <w:r>
        <w:rPr>
          <w:rFonts w:ascii="Arial" w:hAnsi="Arial"/>
          <w:sz w:val="18"/>
          <w:szCs w:val="18"/>
        </w:rPr>
        <w:t xml:space="preserve">, costantemente posizionato tra i primi </w:t>
      </w:r>
      <w:proofErr w:type="gramStart"/>
      <w:r>
        <w:rPr>
          <w:rFonts w:ascii="Arial" w:hAnsi="Arial"/>
          <w:sz w:val="18"/>
          <w:szCs w:val="18"/>
        </w:rPr>
        <w:t>10</w:t>
      </w:r>
      <w:proofErr w:type="gramEnd"/>
      <w:r>
        <w:rPr>
          <w:rFonts w:ascii="Arial" w:hAnsi="Arial"/>
          <w:sz w:val="18"/>
          <w:szCs w:val="18"/>
        </w:rPr>
        <w:t xml:space="preserve"> operatori di M&amp;A in Europa per numero di operazioni. Il Gruppo è attivo nell’M&amp;A, nel </w:t>
      </w:r>
      <w:proofErr w:type="spellStart"/>
      <w:r>
        <w:rPr>
          <w:rFonts w:ascii="Arial" w:hAnsi="Arial"/>
          <w:sz w:val="18"/>
          <w:szCs w:val="18"/>
        </w:rPr>
        <w:t>Debt</w:t>
      </w:r>
      <w:proofErr w:type="spellEnd"/>
      <w:r>
        <w:rPr>
          <w:rFonts w:ascii="Arial" w:hAnsi="Arial"/>
          <w:sz w:val="18"/>
          <w:szCs w:val="18"/>
        </w:rPr>
        <w:t xml:space="preserve"> </w:t>
      </w:r>
      <w:proofErr w:type="spellStart"/>
      <w:r>
        <w:rPr>
          <w:rFonts w:ascii="Arial" w:hAnsi="Arial"/>
          <w:sz w:val="18"/>
          <w:szCs w:val="18"/>
        </w:rPr>
        <w:t>Advisory</w:t>
      </w:r>
      <w:proofErr w:type="spellEnd"/>
      <w:r>
        <w:rPr>
          <w:rFonts w:ascii="Arial" w:hAnsi="Arial"/>
          <w:sz w:val="18"/>
          <w:szCs w:val="18"/>
        </w:rPr>
        <w:t xml:space="preserve"> ed ha completato con successo più di 2400operazioni per un controvalore complessivo superiore a 140 miliardi di </w:t>
      </w:r>
      <w:proofErr w:type="gramStart"/>
      <w:r>
        <w:rPr>
          <w:rFonts w:ascii="Arial" w:hAnsi="Arial"/>
          <w:sz w:val="18"/>
          <w:szCs w:val="18"/>
        </w:rPr>
        <w:t>Euro</w:t>
      </w:r>
      <w:proofErr w:type="gramEnd"/>
      <w:r>
        <w:rPr>
          <w:rFonts w:ascii="Arial" w:hAnsi="Arial"/>
          <w:sz w:val="18"/>
          <w:szCs w:val="18"/>
        </w:rPr>
        <w:t xml:space="preserve"> negli ultimi 20anni. Attualmente conta oltre 400 professionisti in 17 uffici in Europa, Nord America e Asia.</w:t>
      </w:r>
    </w:p>
    <w:p w14:paraId="4CAAE21B" w14:textId="77777777" w:rsidR="004850D2" w:rsidRPr="00D44167" w:rsidRDefault="004850D2" w:rsidP="00D44167">
      <w:pPr>
        <w:widowControl/>
        <w:jc w:val="both"/>
        <w:rPr>
          <w:rFonts w:ascii="Arial" w:eastAsia="Arial" w:hAnsi="Arial" w:cs="Arial"/>
          <w:kern w:val="2"/>
          <w:sz w:val="24"/>
          <w:szCs w:val="24"/>
        </w:rPr>
      </w:pPr>
    </w:p>
    <w:p w14:paraId="52B10B7C" w14:textId="77777777" w:rsidR="004850D2" w:rsidRDefault="00000000" w:rsidP="00D44167">
      <w:pPr>
        <w:widowControl/>
        <w:jc w:val="center"/>
        <w:rPr>
          <w:rFonts w:ascii="Arial" w:eastAsia="Arial" w:hAnsi="Arial" w:cs="Arial"/>
          <w:b/>
          <w:bCs/>
          <w:kern w:val="2"/>
          <w:sz w:val="24"/>
          <w:szCs w:val="24"/>
        </w:rPr>
      </w:pPr>
      <w:r>
        <w:rPr>
          <w:rFonts w:ascii="Arial" w:hAnsi="Arial"/>
          <w:b/>
          <w:bCs/>
          <w:kern w:val="2"/>
          <w:sz w:val="24"/>
          <w:szCs w:val="24"/>
        </w:rPr>
        <w:t>***</w:t>
      </w:r>
    </w:p>
    <w:p w14:paraId="06B41E15" w14:textId="77777777" w:rsidR="00D44167" w:rsidRDefault="00D44167" w:rsidP="00D44167">
      <w:pPr>
        <w:widowControl/>
        <w:jc w:val="both"/>
        <w:rPr>
          <w:rFonts w:ascii="Arial" w:hAnsi="Arial"/>
          <w:b/>
          <w:bCs/>
        </w:rPr>
      </w:pPr>
    </w:p>
    <w:p w14:paraId="6D12808A" w14:textId="35D35016" w:rsidR="004850D2" w:rsidRDefault="00000000" w:rsidP="00D44167">
      <w:pPr>
        <w:widowControl/>
        <w:jc w:val="both"/>
        <w:rPr>
          <w:rFonts w:ascii="Arial" w:eastAsia="Arial" w:hAnsi="Arial" w:cs="Arial"/>
          <w:b/>
          <w:bCs/>
          <w:color w:val="0000FF"/>
          <w:u w:val="single" w:color="0000FF"/>
        </w:rPr>
      </w:pPr>
      <w:r>
        <w:rPr>
          <w:rFonts w:ascii="Arial" w:hAnsi="Arial"/>
          <w:b/>
          <w:bCs/>
        </w:rPr>
        <w:t>Per maggiori informazioni si prega di contattare:</w:t>
      </w:r>
    </w:p>
    <w:tbl>
      <w:tblPr>
        <w:tblStyle w:val="TableNormal"/>
        <w:tblW w:w="609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95"/>
      </w:tblGrid>
      <w:tr w:rsidR="004850D2" w14:paraId="107231F5" w14:textId="77777777">
        <w:trPr>
          <w:trHeight w:val="1219"/>
        </w:trPr>
        <w:tc>
          <w:tcPr>
            <w:tcW w:w="6095" w:type="dxa"/>
            <w:tcBorders>
              <w:top w:val="nil"/>
              <w:left w:val="nil"/>
              <w:bottom w:val="nil"/>
              <w:right w:val="nil"/>
            </w:tcBorders>
            <w:shd w:val="clear" w:color="auto" w:fill="auto"/>
            <w:tcMar>
              <w:top w:w="80" w:type="dxa"/>
              <w:left w:w="80" w:type="dxa"/>
              <w:bottom w:w="80" w:type="dxa"/>
              <w:right w:w="80" w:type="dxa"/>
            </w:tcMar>
          </w:tcPr>
          <w:p w14:paraId="79DA2EEE" w14:textId="77777777" w:rsidR="004850D2" w:rsidRDefault="00000000" w:rsidP="00D44167">
            <w:pPr>
              <w:widowControl/>
              <w:jc w:val="both"/>
              <w:rPr>
                <w:rFonts w:ascii="Arial" w:eastAsia="Arial" w:hAnsi="Arial" w:cs="Arial"/>
                <w:b/>
                <w:bCs/>
                <w:kern w:val="2"/>
              </w:rPr>
            </w:pPr>
            <w:r>
              <w:rPr>
                <w:rStyle w:val="NessunoA"/>
                <w:rFonts w:ascii="Arial" w:hAnsi="Arial"/>
                <w:b/>
                <w:bCs/>
                <w:kern w:val="2"/>
              </w:rPr>
              <w:t xml:space="preserve">SEC </w:t>
            </w:r>
            <w:proofErr w:type="spellStart"/>
            <w:r>
              <w:rPr>
                <w:rStyle w:val="NessunoA"/>
                <w:rFonts w:ascii="Arial" w:hAnsi="Arial"/>
                <w:b/>
                <w:bCs/>
                <w:kern w:val="2"/>
              </w:rPr>
              <w:t>Newgate</w:t>
            </w:r>
            <w:proofErr w:type="spellEnd"/>
          </w:p>
          <w:p w14:paraId="424769F4" w14:textId="77777777" w:rsidR="004850D2" w:rsidRDefault="00000000" w:rsidP="00D44167">
            <w:pPr>
              <w:widowControl/>
              <w:jc w:val="both"/>
              <w:rPr>
                <w:rStyle w:val="Nessuno"/>
                <w:rFonts w:ascii="Arial" w:eastAsia="Arial" w:hAnsi="Arial" w:cs="Arial"/>
                <w:kern w:val="2"/>
              </w:rPr>
            </w:pPr>
            <w:hyperlink r:id="rId6" w:history="1">
              <w:r>
                <w:rPr>
                  <w:rStyle w:val="Hyperlink0"/>
                  <w:rFonts w:ascii="Arial" w:hAnsi="Arial"/>
                  <w:kern w:val="2"/>
                </w:rPr>
                <w:t>michele.bon@secnewgate.it</w:t>
              </w:r>
            </w:hyperlink>
            <w:r>
              <w:rPr>
                <w:rStyle w:val="NessunoA"/>
                <w:rFonts w:ascii="Arial" w:hAnsi="Arial"/>
                <w:kern w:val="2"/>
              </w:rPr>
              <w:t xml:space="preserve"> - 338 693 3868</w:t>
            </w:r>
          </w:p>
          <w:p w14:paraId="48B89B78" w14:textId="77777777" w:rsidR="004850D2" w:rsidRDefault="00000000" w:rsidP="00D44167">
            <w:pPr>
              <w:widowControl/>
              <w:jc w:val="both"/>
              <w:rPr>
                <w:rStyle w:val="Nessuno"/>
                <w:rFonts w:ascii="Arial" w:eastAsia="Arial" w:hAnsi="Arial" w:cs="Arial"/>
                <w:kern w:val="2"/>
              </w:rPr>
            </w:pPr>
            <w:hyperlink r:id="rId7" w:history="1">
              <w:r>
                <w:rPr>
                  <w:rStyle w:val="Hyperlink0"/>
                  <w:rFonts w:ascii="Arial" w:hAnsi="Arial"/>
                  <w:kern w:val="2"/>
                </w:rPr>
                <w:t>giorgia.cococcioni@secnewgate.it</w:t>
              </w:r>
            </w:hyperlink>
            <w:r>
              <w:rPr>
                <w:rStyle w:val="NessunoA"/>
                <w:rFonts w:ascii="Arial" w:hAnsi="Arial"/>
                <w:kern w:val="2"/>
              </w:rPr>
              <w:t xml:space="preserve"> - 366 236 3331</w:t>
            </w:r>
          </w:p>
          <w:p w14:paraId="6D311EA9" w14:textId="77777777" w:rsidR="004850D2" w:rsidRDefault="00000000" w:rsidP="00D44167">
            <w:pPr>
              <w:widowControl/>
              <w:jc w:val="both"/>
            </w:pPr>
            <w:hyperlink r:id="rId8" w:history="1">
              <w:r>
                <w:rPr>
                  <w:rStyle w:val="Hyperlink1"/>
                </w:rPr>
                <w:t>andrea.prandini@secnewgate.it</w:t>
              </w:r>
            </w:hyperlink>
            <w:r>
              <w:rPr>
                <w:rStyle w:val="Nessuno"/>
                <w:rFonts w:ascii="Arial" w:hAnsi="Arial"/>
                <w:kern w:val="2"/>
                <w:lang w:val="en-US"/>
              </w:rPr>
              <w:t xml:space="preserve">  – 339 322 1707</w:t>
            </w:r>
          </w:p>
        </w:tc>
      </w:tr>
    </w:tbl>
    <w:p w14:paraId="07F34186" w14:textId="77777777" w:rsidR="004850D2" w:rsidRDefault="004850D2" w:rsidP="00D44167"/>
    <w:sectPr w:rsidR="004850D2">
      <w:headerReference w:type="default" r:id="rId9"/>
      <w:footerReference w:type="default" r:id="rId10"/>
      <w:pgSz w:w="11900" w:h="16840"/>
      <w:pgMar w:top="2694" w:right="1134" w:bottom="1134" w:left="1134" w:header="708"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F101" w14:textId="77777777" w:rsidR="00CE0DE3" w:rsidRDefault="00CE0DE3">
      <w:r>
        <w:separator/>
      </w:r>
    </w:p>
  </w:endnote>
  <w:endnote w:type="continuationSeparator" w:id="0">
    <w:p w14:paraId="65083601" w14:textId="77777777" w:rsidR="00CE0DE3" w:rsidRDefault="00CE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CFC2" w14:textId="77777777" w:rsidR="004850D2" w:rsidRDefault="00000000">
    <w:pPr>
      <w:pStyle w:val="Intestazione"/>
      <w:tabs>
        <w:tab w:val="clear" w:pos="9638"/>
        <w:tab w:val="right" w:pos="9612"/>
      </w:tabs>
      <w:spacing w:line="312" w:lineRule="auto"/>
      <w:jc w:val="center"/>
      <w:rPr>
        <w:rFonts w:ascii="Arial" w:eastAsia="Arial" w:hAnsi="Arial" w:cs="Arial"/>
        <w:b/>
        <w:bCs/>
        <w:color w:val="D9D9D9"/>
        <w:sz w:val="16"/>
        <w:szCs w:val="16"/>
        <w:u w:val="single" w:color="D9D9D9"/>
        <w:lang w:val="en-US"/>
      </w:rPr>
    </w:pPr>
    <w:r>
      <w:rPr>
        <w:color w:val="D9D9D9"/>
        <w:u w:color="D9D9D9"/>
        <w:lang w:val="en-US"/>
      </w:rPr>
      <w:t>_______________________________________________________________________________________</w:t>
    </w:r>
  </w:p>
  <w:p w14:paraId="25E5FD86" w14:textId="77777777" w:rsidR="004850D2" w:rsidRDefault="00000000">
    <w:pPr>
      <w:pStyle w:val="Intestazione"/>
      <w:tabs>
        <w:tab w:val="clear" w:pos="9638"/>
        <w:tab w:val="right" w:pos="9612"/>
      </w:tabs>
      <w:spacing w:line="312" w:lineRule="auto"/>
      <w:jc w:val="center"/>
    </w:pPr>
    <w:r>
      <w:rPr>
        <w:rFonts w:ascii="Arial" w:hAnsi="Arial"/>
        <w:color w:val="A6A6A6"/>
        <w:sz w:val="17"/>
        <w:szCs w:val="17"/>
        <w:u w:color="A6A6A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78FF" w14:textId="77777777" w:rsidR="00CE0DE3" w:rsidRDefault="00CE0DE3">
      <w:r>
        <w:separator/>
      </w:r>
    </w:p>
  </w:footnote>
  <w:footnote w:type="continuationSeparator" w:id="0">
    <w:p w14:paraId="2F303AE1" w14:textId="77777777" w:rsidR="00CE0DE3" w:rsidRDefault="00CE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641B" w14:textId="77777777" w:rsidR="004850D2" w:rsidRDefault="00000000">
    <w:pPr>
      <w:pStyle w:val="Intestazione"/>
      <w:tabs>
        <w:tab w:val="clear" w:pos="9638"/>
        <w:tab w:val="right" w:pos="9612"/>
      </w:tabs>
    </w:pPr>
    <w:r>
      <w:rPr>
        <w:noProof/>
      </w:rPr>
      <w:drawing>
        <wp:inline distT="0" distB="0" distL="0" distR="0" wp14:anchorId="2874D4BD" wp14:editId="2512226A">
          <wp:extent cx="2524125" cy="69446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2524125" cy="69446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D2"/>
    <w:rsid w:val="00255D26"/>
    <w:rsid w:val="003F6078"/>
    <w:rsid w:val="004850D2"/>
    <w:rsid w:val="00BA04BC"/>
    <w:rsid w:val="00CE0DE3"/>
    <w:rsid w:val="00D44167"/>
    <w:rsid w:val="00EE1B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2B55DEF"/>
  <w15:docId w15:val="{FD6C29AA-0B05-3C4F-9434-51F4F742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widowControl w:val="0"/>
      <w:tabs>
        <w:tab w:val="center" w:pos="4819"/>
        <w:tab w:val="right" w:pos="9638"/>
      </w:tabs>
    </w:pPr>
    <w:rPr>
      <w:rFonts w:cs="Arial Unicode MS"/>
      <w:color w:val="000000"/>
      <w:u w:color="000000"/>
    </w:rPr>
  </w:style>
  <w:style w:type="paragraph" w:styleId="NormaleWeb">
    <w:name w:val="Normal (Web)"/>
    <w:pPr>
      <w:spacing w:before="100" w:after="100"/>
    </w:pPr>
    <w:rPr>
      <w:rFonts w:cs="Arial Unicode MS"/>
      <w:color w:val="000000"/>
      <w:sz w:val="24"/>
      <w:szCs w:val="24"/>
      <w:u w:color="000000"/>
    </w:rPr>
  </w:style>
  <w:style w:type="character" w:customStyle="1" w:styleId="NessunoA">
    <w:name w:val="Nessuno A"/>
    <w:rPr>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character" w:customStyle="1" w:styleId="Hyperlink1">
    <w:name w:val="Hyperlink.1"/>
    <w:basedOn w:val="Nessuno"/>
    <w:rPr>
      <w:rFonts w:ascii="Arial" w:eastAsia="Arial" w:hAnsi="Arial" w:cs="Arial"/>
      <w:color w:val="0000FF"/>
      <w:kern w:val="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drea.prandini@secnewgate.it" TargetMode="External"/><Relationship Id="rId3" Type="http://schemas.openxmlformats.org/officeDocument/2006/relationships/webSettings" Target="webSettings.xml"/><Relationship Id="rId7" Type="http://schemas.openxmlformats.org/officeDocument/2006/relationships/hyperlink" Target="mailto:giorgia.cococcioni@secnewgate.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e.bon@secnewgat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Rocchi</cp:lastModifiedBy>
  <cp:revision>4</cp:revision>
  <dcterms:created xsi:type="dcterms:W3CDTF">2024-03-26T13:43:00Z</dcterms:created>
  <dcterms:modified xsi:type="dcterms:W3CDTF">2024-04-02T08:27:00Z</dcterms:modified>
</cp:coreProperties>
</file>