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Museo delle Civilt</w:t>
      </w:r>
      <w:r>
        <w:rPr>
          <w:b w:val="1"/>
          <w:bCs w:val="1"/>
          <w:sz w:val="22"/>
          <w:szCs w:val="22"/>
          <w:rtl w:val="0"/>
          <w:lang w:val="it-IT"/>
        </w:rPr>
        <w:t xml:space="preserve">à </w:t>
      </w:r>
    </w:p>
    <w:p>
      <w:pPr>
        <w:pStyle w:val="Normal.0"/>
        <w:jc w:val="center"/>
        <w:rPr>
          <w:rStyle w:val="Nessuno A"/>
          <w:sz w:val="22"/>
          <w:szCs w:val="22"/>
        </w:rPr>
      </w:pPr>
    </w:p>
    <w:p>
      <w:pPr>
        <w:pStyle w:val="Normal.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in collaborazione con </w:t>
      </w:r>
    </w:p>
    <w:p>
      <w:pPr>
        <w:pStyle w:val="Normal.0"/>
        <w:jc w:val="center"/>
        <w:rPr>
          <w:rStyle w:val="Nessuno A"/>
          <w:sz w:val="22"/>
          <w:szCs w:val="22"/>
        </w:rPr>
      </w:pPr>
    </w:p>
    <w:p>
      <w:pPr>
        <w:pStyle w:val="Normal.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Ambasciata della Repubblica di Lituania a Roma</w:t>
      </w:r>
    </w:p>
    <w:p>
      <w:pPr>
        <w:pStyle w:val="Normal.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Ambasciata della Repubblica di Lituania presso la Santa Sede</w:t>
      </w:r>
    </w:p>
    <w:p>
      <w:pPr>
        <w:pStyle w:val="Normal.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Sovrano Ordine di Malta</w:t>
      </w:r>
    </w:p>
    <w:p>
      <w:pPr>
        <w:pStyle w:val="Normal.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Lithuanian Culture Institute</w:t>
      </w:r>
    </w:p>
    <w:p>
      <w:pPr>
        <w:pStyle w:val="Normal.0"/>
        <w:jc w:val="center"/>
        <w:rPr>
          <w:b w:val="1"/>
          <w:bCs w:val="1"/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Mo Museum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Modern Art, Vilnius</w:t>
      </w:r>
    </w:p>
    <w:p>
      <w:pPr>
        <w:pStyle w:val="Normal.0"/>
        <w:jc w:val="center"/>
        <w:rPr>
          <w:rStyle w:val="Nessuno A"/>
          <w:sz w:val="22"/>
          <w:szCs w:val="22"/>
          <w:lang w:val="en-US"/>
        </w:rPr>
      </w:pPr>
    </w:p>
    <w:p>
      <w:pPr>
        <w:pStyle w:val="Normal.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presenta la </w:t>
      </w:r>
      <w:r>
        <w:rPr>
          <w:b w:val="1"/>
          <w:bCs w:val="1"/>
          <w:sz w:val="22"/>
          <w:szCs w:val="22"/>
          <w:rtl w:val="0"/>
          <w:lang w:val="it-IT"/>
        </w:rPr>
        <w:t>mostra</w:t>
      </w:r>
    </w:p>
    <w:p>
      <w:pPr>
        <w:pStyle w:val="Normal.0"/>
        <w:jc w:val="center"/>
        <w:rPr>
          <w:rStyle w:val="Nessuno A"/>
          <w:sz w:val="16"/>
          <w:szCs w:val="16"/>
        </w:rPr>
      </w:pPr>
    </w:p>
    <w:p>
      <w:pPr>
        <w:pStyle w:val="Normal.0"/>
        <w:jc w:val="center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Nomeda &amp; Gediminas Urbonas: Villa Lituania </w:t>
      </w:r>
    </w:p>
    <w:p>
      <w:pPr>
        <w:pStyle w:val="Normal.0"/>
        <w:jc w:val="center"/>
        <w:rPr>
          <w:b w:val="1"/>
          <w:bCs w:val="1"/>
          <w:sz w:val="16"/>
          <w:szCs w:val="16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da mercoled</w:t>
      </w:r>
      <w:r>
        <w:rPr>
          <w:b w:val="1"/>
          <w:bCs w:val="1"/>
          <w:rtl w:val="0"/>
          <w:lang w:val="it-IT"/>
        </w:rPr>
        <w:t xml:space="preserve">ì </w:t>
      </w:r>
      <w:r>
        <w:rPr>
          <w:b w:val="1"/>
          <w:bCs w:val="1"/>
          <w:rtl w:val="0"/>
          <w:lang w:val="it-IT"/>
        </w:rPr>
        <w:t>20 dicembre 2023 a domenica 4 febbraio 2024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</w:pPr>
      <w:r>
        <w:rPr>
          <w:rStyle w:val="Nessuno A"/>
          <w:rtl w:val="0"/>
          <w:lang w:val="it-IT"/>
        </w:rPr>
        <w:t>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 xml:space="preserve">installazione </w:t>
      </w:r>
      <w:r>
        <w:rPr>
          <w:b w:val="1"/>
          <w:bCs w:val="1"/>
          <w:i w:val="1"/>
          <w:iCs w:val="1"/>
          <w:rtl w:val="0"/>
          <w:lang w:val="it-IT"/>
        </w:rPr>
        <w:t>Villa Lituania</w:t>
      </w:r>
      <w:r>
        <w:rPr>
          <w:rStyle w:val="Nessuno A"/>
          <w:rtl w:val="0"/>
          <w:lang w:val="it-IT"/>
        </w:rPr>
        <w:t xml:space="preserve"> del duo </w:t>
      </w:r>
      <w:r>
        <w:rPr>
          <w:b w:val="1"/>
          <w:bCs w:val="1"/>
          <w:rtl w:val="0"/>
          <w:lang w:val="it-IT"/>
        </w:rPr>
        <w:t>Nomeda &amp; Gediminas Urbonas</w:t>
      </w:r>
      <w:r>
        <w:rPr>
          <w:rStyle w:val="Nessuno A"/>
          <w:rtl w:val="0"/>
          <w:lang w:val="it-IT"/>
        </w:rPr>
        <w:t xml:space="preserve"> è </w:t>
      </w:r>
      <w:r>
        <w:rPr>
          <w:rStyle w:val="Nessuno A"/>
          <w:rtl w:val="0"/>
          <w:lang w:val="it-IT"/>
        </w:rPr>
        <w:t xml:space="preserve">una testimonianza del </w:t>
      </w:r>
      <w:r>
        <w:rPr>
          <w:b w:val="1"/>
          <w:bCs w:val="1"/>
          <w:rtl w:val="0"/>
          <w:lang w:val="it-IT"/>
        </w:rPr>
        <w:t>potere diplomatico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arte</w:t>
      </w:r>
      <w:r>
        <w:rPr>
          <w:rStyle w:val="Nessuno A"/>
          <w:rtl w:val="0"/>
          <w:lang w:val="it-IT"/>
        </w:rPr>
        <w:t xml:space="preserve"> all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>interno di conflitti a eredit</w:t>
      </w:r>
      <w:r>
        <w:rPr>
          <w:rStyle w:val="Nessuno A"/>
          <w:rtl w:val="0"/>
          <w:lang w:val="it-IT"/>
        </w:rPr>
        <w:t xml:space="preserve">à </w:t>
      </w:r>
      <w:r>
        <w:rPr>
          <w:rStyle w:val="Nessuno A"/>
          <w:rtl w:val="0"/>
          <w:lang w:val="it-IT"/>
        </w:rPr>
        <w:t xml:space="preserve">storiche complesse, attraverso la rievocazione di una gara di </w:t>
      </w:r>
      <w:r>
        <w:rPr>
          <w:b w:val="1"/>
          <w:bCs w:val="1"/>
          <w:rtl w:val="0"/>
          <w:lang w:val="it-IT"/>
        </w:rPr>
        <w:t>colombi viaggiatori</w:t>
      </w:r>
      <w:r>
        <w:rPr>
          <w:rStyle w:val="Nessuno A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 xml:space="preserve">per la pace </w:t>
      </w:r>
      <w:r>
        <w:rPr>
          <w:rStyle w:val="Nessuno A"/>
          <w:rtl w:val="0"/>
          <w:lang w:val="it-IT"/>
        </w:rPr>
        <w:t xml:space="preserve">come </w:t>
      </w:r>
      <w:r>
        <w:rPr>
          <w:b w:val="1"/>
          <w:bCs w:val="1"/>
          <w:rtl w:val="0"/>
          <w:lang w:val="it-IT"/>
        </w:rPr>
        <w:t>simbolo interspecie di riparazione culturale</w:t>
      </w:r>
      <w:r>
        <w:rPr>
          <w:rStyle w:val="Nessuno A"/>
          <w:rtl w:val="0"/>
          <w:lang w:val="it-IT"/>
        </w:rPr>
        <w:t>.</w:t>
      </w:r>
    </w:p>
    <w:p>
      <w:pPr>
        <w:pStyle w:val="Normal.0"/>
        <w:jc w:val="center"/>
        <w:rPr>
          <w:rStyle w:val="Nessuno A"/>
          <w:sz w:val="16"/>
          <w:szCs w:val="16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Inaugurazione: Mercoled</w:t>
      </w:r>
      <w:r>
        <w:rPr>
          <w:b w:val="1"/>
          <w:bCs w:val="1"/>
          <w:rtl w:val="0"/>
          <w:lang w:val="it-IT"/>
        </w:rPr>
        <w:t xml:space="preserve">ì </w:t>
      </w:r>
      <w:r>
        <w:rPr>
          <w:b w:val="1"/>
          <w:bCs w:val="1"/>
          <w:rtl w:val="0"/>
          <w:lang w:val="it-IT"/>
        </w:rPr>
        <w:t>20 dicembre 2023</w:t>
      </w:r>
      <w:r>
        <w:rPr>
          <w:b w:val="1"/>
          <w:bCs w:val="1"/>
        </w:rPr>
        <w:br w:type="textWrapping"/>
      </w:r>
    </w:p>
    <w:p>
      <w:pPr>
        <w:pStyle w:val="Normal.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ANTEPRIMA STAMPA</w:t>
      </w:r>
      <w:r>
        <w:rPr>
          <w:b w:val="1"/>
          <w:bCs w:val="1"/>
          <w:sz w:val="22"/>
          <w:szCs w:val="22"/>
        </w:rPr>
        <w:br w:type="textWrapping"/>
      </w:r>
      <w:r>
        <w:rPr>
          <w:b w:val="1"/>
          <w:bCs w:val="1"/>
          <w:sz w:val="22"/>
          <w:szCs w:val="22"/>
          <w:rtl w:val="0"/>
          <w:lang w:val="it-IT"/>
        </w:rPr>
        <w:t xml:space="preserve">ore 11.00 </w:t>
      </w:r>
      <w:r>
        <w:rPr>
          <w:b w:val="1"/>
          <w:bCs w:val="1"/>
          <w:sz w:val="22"/>
          <w:szCs w:val="22"/>
          <w:rtl w:val="0"/>
          <w:lang w:val="it-IT"/>
        </w:rPr>
        <w:t xml:space="preserve">– </w:t>
      </w:r>
      <w:r>
        <w:rPr>
          <w:b w:val="1"/>
          <w:bCs w:val="1"/>
          <w:sz w:val="22"/>
          <w:szCs w:val="22"/>
          <w:rtl w:val="0"/>
          <w:lang w:val="it-IT"/>
        </w:rPr>
        <w:t>12.00.</w:t>
      </w:r>
    </w:p>
    <w:p>
      <w:pPr>
        <w:pStyle w:val="Normal.0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INAUGURAZIONE</w:t>
      </w:r>
      <w:r>
        <w:rPr>
          <w:b w:val="1"/>
          <w:bCs w:val="1"/>
          <w:sz w:val="22"/>
          <w:szCs w:val="22"/>
        </w:rPr>
        <w:br w:type="textWrapping"/>
      </w:r>
      <w:r>
        <w:rPr>
          <w:b w:val="1"/>
          <w:bCs w:val="1"/>
          <w:sz w:val="22"/>
          <w:szCs w:val="22"/>
          <w:rtl w:val="0"/>
          <w:lang w:val="it-IT"/>
        </w:rPr>
        <w:t xml:space="preserve">ore 17.00 </w:t>
      </w:r>
      <w:r>
        <w:rPr>
          <w:b w:val="1"/>
          <w:bCs w:val="1"/>
          <w:sz w:val="22"/>
          <w:szCs w:val="22"/>
          <w:rtl w:val="0"/>
          <w:lang w:val="it-IT"/>
        </w:rPr>
        <w:t xml:space="preserve">– </w:t>
      </w:r>
      <w:r>
        <w:rPr>
          <w:b w:val="1"/>
          <w:bCs w:val="1"/>
          <w:sz w:val="22"/>
          <w:szCs w:val="22"/>
          <w:rtl w:val="0"/>
          <w:lang w:val="it-IT"/>
        </w:rPr>
        <w:t>20.00</w:t>
      </w:r>
      <w:r>
        <w:rPr>
          <w:b w:val="1"/>
          <w:bCs w:val="1"/>
          <w:sz w:val="22"/>
          <w:szCs w:val="22"/>
        </w:rPr>
        <w:br w:type="textWrapping"/>
        <w:br w:type="textWrapping"/>
      </w:r>
      <w:r>
        <w:rPr>
          <w:b w:val="1"/>
          <w:bCs w:val="1"/>
          <w:sz w:val="22"/>
          <w:szCs w:val="22"/>
          <w:rtl w:val="0"/>
          <w:lang w:val="it-IT"/>
        </w:rPr>
        <w:t>INGRESSO GRATUITO</w:t>
      </w:r>
      <w:r>
        <w:rPr>
          <w:b w:val="1"/>
          <w:bCs w:val="1"/>
          <w:sz w:val="22"/>
          <w:szCs w:val="22"/>
        </w:rPr>
        <w:br w:type="textWrapping"/>
      </w:r>
    </w:p>
    <w:p>
      <w:pPr>
        <w:pStyle w:val="Normal.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Museo delle Civilt</w:t>
      </w:r>
      <w:r>
        <w:rPr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b w:val="1"/>
          <w:bCs w:val="1"/>
          <w:sz w:val="22"/>
          <w:szCs w:val="22"/>
          <w:rtl w:val="0"/>
          <w:lang w:val="it-IT"/>
        </w:rPr>
        <w:t>- Palazzo delle Arti e Tradizioni Popolari</w:t>
      </w:r>
    </w:p>
    <w:p>
      <w:pPr>
        <w:pStyle w:val="Normal.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Piazza Guglielmo Marconi 8, Roma</w:t>
      </w:r>
    </w:p>
    <w:p>
      <w:pPr>
        <w:pStyle w:val="Normal.0"/>
        <w:rPr>
          <w:b w:val="1"/>
          <w:bCs w:val="1"/>
          <w:sz w:val="16"/>
          <w:szCs w:val="16"/>
        </w:rPr>
      </w:pPr>
    </w:p>
    <w:p>
      <w:pPr>
        <w:pStyle w:val="Normal.0"/>
        <w:rPr>
          <w:b w:val="1"/>
          <w:bCs w:val="1"/>
          <w:sz w:val="16"/>
          <w:szCs w:val="16"/>
        </w:rPr>
      </w:pPr>
    </w:p>
    <w:p>
      <w:pPr>
        <w:pStyle w:val="Normal.0"/>
        <w:jc w:val="both"/>
        <w:rPr>
          <w:strike w:val="1"/>
          <w:dstrike w:val="0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it-IT"/>
        </w:rPr>
        <w:t>Roma, 13 dicembre 2023</w:t>
      </w:r>
      <w:r>
        <w:rPr>
          <w:sz w:val="22"/>
          <w:szCs w:val="22"/>
          <w:rtl w:val="0"/>
          <w:lang w:val="it-IT"/>
        </w:rPr>
        <w:t xml:space="preserve">. </w:t>
      </w:r>
      <w:r>
        <w:rPr>
          <w:b w:val="1"/>
          <w:bCs w:val="1"/>
          <w:sz w:val="22"/>
          <w:szCs w:val="22"/>
          <w:rtl w:val="0"/>
          <w:lang w:val="it-IT"/>
        </w:rPr>
        <w:t>Mercoled</w:t>
      </w:r>
      <w:r>
        <w:rPr>
          <w:b w:val="1"/>
          <w:bCs w:val="1"/>
          <w:sz w:val="22"/>
          <w:szCs w:val="22"/>
          <w:rtl w:val="0"/>
          <w:lang w:val="it-IT"/>
        </w:rPr>
        <w:t xml:space="preserve">ì </w:t>
      </w:r>
      <w:r>
        <w:rPr>
          <w:b w:val="1"/>
          <w:bCs w:val="1"/>
          <w:sz w:val="22"/>
          <w:szCs w:val="22"/>
          <w:rtl w:val="0"/>
          <w:lang w:val="it-IT"/>
        </w:rPr>
        <w:t>20 dicembre</w:t>
      </w:r>
      <w:r>
        <w:rPr>
          <w:sz w:val="22"/>
          <w:szCs w:val="22"/>
          <w:rtl w:val="0"/>
          <w:lang w:val="it-IT"/>
        </w:rPr>
        <w:t xml:space="preserve">, il </w:t>
      </w:r>
      <w:r>
        <w:rPr>
          <w:b w:val="1"/>
          <w:bCs w:val="1"/>
          <w:sz w:val="22"/>
          <w:szCs w:val="22"/>
          <w:rtl w:val="0"/>
          <w:lang w:val="it-IT"/>
        </w:rPr>
        <w:t>Museo delle Civilt</w:t>
      </w:r>
      <w:r>
        <w:rPr>
          <w:b w:val="1"/>
          <w:bCs w:val="1"/>
          <w:sz w:val="22"/>
          <w:szCs w:val="22"/>
          <w:rtl w:val="0"/>
          <w:lang w:val="it-IT"/>
        </w:rPr>
        <w:t>à</w:t>
      </w:r>
      <w:r>
        <w:rPr>
          <w:sz w:val="22"/>
          <w:szCs w:val="22"/>
          <w:rtl w:val="0"/>
          <w:lang w:val="it-IT"/>
        </w:rPr>
        <w:t xml:space="preserve"> di Roma inaugura la mostra 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Villa Lituania </w:t>
      </w:r>
      <w:r>
        <w:rPr>
          <w:sz w:val="22"/>
          <w:szCs w:val="22"/>
          <w:rtl w:val="0"/>
          <w:lang w:val="it-IT"/>
        </w:rPr>
        <w:t xml:space="preserve">degli artisti </w:t>
      </w:r>
      <w:r>
        <w:rPr>
          <w:b w:val="1"/>
          <w:bCs w:val="1"/>
          <w:sz w:val="22"/>
          <w:szCs w:val="22"/>
          <w:rtl w:val="0"/>
          <w:lang w:val="it-IT"/>
        </w:rPr>
        <w:t>Nomeda &amp; Gediminas Urbonas</w:t>
      </w:r>
      <w:r>
        <w:rPr>
          <w:sz w:val="22"/>
          <w:szCs w:val="22"/>
          <w:rtl w:val="0"/>
          <w:lang w:val="it-IT"/>
        </w:rPr>
        <w:t xml:space="preserve">, a cura di </w:t>
      </w:r>
      <w:r>
        <w:rPr>
          <w:b w:val="1"/>
          <w:bCs w:val="1"/>
          <w:sz w:val="22"/>
          <w:szCs w:val="22"/>
          <w:rtl w:val="0"/>
          <w:lang w:val="it-IT"/>
        </w:rPr>
        <w:t>Matteo Lucchetti</w:t>
      </w:r>
      <w:r>
        <w:rPr>
          <w:sz w:val="22"/>
          <w:szCs w:val="22"/>
          <w:rtl w:val="0"/>
          <w:lang w:val="it-IT"/>
        </w:rPr>
        <w:t xml:space="preserve">, Curatore per le arti e culture contemporanee presso il Museo. Il progetto </w:t>
      </w:r>
      <w:r>
        <w:rPr>
          <w:i w:val="1"/>
          <w:iCs w:val="1"/>
          <w:sz w:val="22"/>
          <w:szCs w:val="22"/>
          <w:rtl w:val="0"/>
          <w:lang w:val="it-IT"/>
        </w:rPr>
        <w:t>Villa Lituania</w:t>
      </w:r>
      <w:r>
        <w:rPr>
          <w:sz w:val="22"/>
          <w:szCs w:val="22"/>
          <w:rtl w:val="0"/>
          <w:lang w:val="it-IT"/>
        </w:rPr>
        <w:t xml:space="preserve"> – </w:t>
      </w:r>
      <w:r>
        <w:rPr>
          <w:sz w:val="22"/>
          <w:szCs w:val="22"/>
          <w:rtl w:val="0"/>
          <w:lang w:val="it-IT"/>
        </w:rPr>
        <w:t xml:space="preserve">evento di chiusura del programma annuale 2023 con la supervisione generale di </w:t>
      </w:r>
      <w:r>
        <w:rPr>
          <w:b w:val="1"/>
          <w:bCs w:val="1"/>
          <w:sz w:val="22"/>
          <w:szCs w:val="22"/>
          <w:rtl w:val="0"/>
          <w:lang w:val="it-IT"/>
        </w:rPr>
        <w:t>Andrea Viliani</w:t>
      </w:r>
      <w:r>
        <w:rPr>
          <w:sz w:val="22"/>
          <w:szCs w:val="22"/>
          <w:rtl w:val="0"/>
          <w:lang w:val="it-IT"/>
        </w:rPr>
        <w:t>, Direttore del Museo delle Civilt</w:t>
      </w:r>
      <w:r>
        <w:rPr>
          <w:sz w:val="22"/>
          <w:szCs w:val="22"/>
          <w:rtl w:val="0"/>
          <w:lang w:val="it-IT"/>
        </w:rPr>
        <w:t xml:space="preserve">à – </w:t>
      </w:r>
      <w:r>
        <w:rPr>
          <w:sz w:val="22"/>
          <w:szCs w:val="22"/>
          <w:rtl w:val="0"/>
          <w:lang w:val="it-IT"/>
        </w:rPr>
        <w:t xml:space="preserve">torna in Italia sedici anni dopo aver rappresentato la Lituania alla 52a Biennale di Venezia nel 2007, vincendo la </w:t>
      </w:r>
      <w:r>
        <w:rPr>
          <w:i w:val="1"/>
          <w:iCs w:val="1"/>
          <w:sz w:val="22"/>
          <w:szCs w:val="22"/>
          <w:rtl w:val="0"/>
          <w:lang w:val="it-IT"/>
        </w:rPr>
        <w:t>Menzione d</w:t>
      </w:r>
      <w:r>
        <w:rPr>
          <w:i w:val="1"/>
          <w:iCs w:val="1"/>
          <w:sz w:val="22"/>
          <w:szCs w:val="22"/>
          <w:rtl w:val="0"/>
          <w:lang w:val="it-IT"/>
        </w:rPr>
        <w:t>’</w:t>
      </w:r>
      <w:r>
        <w:rPr>
          <w:i w:val="1"/>
          <w:iCs w:val="1"/>
          <w:sz w:val="22"/>
          <w:szCs w:val="22"/>
          <w:rtl w:val="0"/>
          <w:lang w:val="it-IT"/>
        </w:rPr>
        <w:t>Onore</w:t>
      </w:r>
      <w:r>
        <w:rPr>
          <w:sz w:val="22"/>
          <w:szCs w:val="22"/>
          <w:rtl w:val="0"/>
          <w:lang w:val="it-IT"/>
        </w:rPr>
        <w:t xml:space="preserve"> della Giuria, e viene presentato al Museo delle Civilt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in occasione dei quarant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anni dalla morte di </w:t>
      </w:r>
      <w:r>
        <w:rPr>
          <w:b w:val="1"/>
          <w:bCs w:val="1"/>
          <w:sz w:val="22"/>
          <w:szCs w:val="22"/>
          <w:rtl w:val="0"/>
          <w:lang w:val="it-IT"/>
        </w:rPr>
        <w:t>Stasys Lozoraitis Sr.</w:t>
      </w:r>
      <w:r>
        <w:rPr>
          <w:sz w:val="22"/>
          <w:szCs w:val="22"/>
          <w:rtl w:val="0"/>
          <w:lang w:val="it-IT"/>
        </w:rPr>
        <w:t xml:space="preserve">, diplomatico residente presso la Villa dal 1939 al 1940. </w:t>
      </w:r>
    </w:p>
    <w:p>
      <w:pPr>
        <w:pStyle w:val="Normal.0"/>
        <w:jc w:val="both"/>
        <w:rPr>
          <w:rStyle w:val="Nessuno A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it-IT"/>
        </w:rPr>
        <w:t>Villa Lituania</w:t>
      </w:r>
      <w:r>
        <w:rPr>
          <w:sz w:val="22"/>
          <w:szCs w:val="22"/>
          <w:rtl w:val="0"/>
          <w:lang w:val="it-IT"/>
        </w:rPr>
        <w:t xml:space="preserve"> è </w:t>
      </w:r>
      <w:r>
        <w:rPr>
          <w:sz w:val="22"/>
          <w:szCs w:val="22"/>
          <w:rtl w:val="0"/>
          <w:lang w:val="it-IT"/>
        </w:rPr>
        <w:t>un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installazione multimediale che ruota attorno alla storia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edificio omonimo (costruito nel </w:t>
      </w:r>
      <w:r>
        <w:rPr>
          <w:b w:val="1"/>
          <w:bCs w:val="1"/>
          <w:sz w:val="22"/>
          <w:szCs w:val="22"/>
          <w:rtl w:val="0"/>
          <w:lang w:val="it-IT"/>
        </w:rPr>
        <w:t>1912</w:t>
      </w:r>
      <w:r>
        <w:rPr>
          <w:sz w:val="22"/>
          <w:szCs w:val="22"/>
          <w:rtl w:val="0"/>
          <w:lang w:val="it-IT"/>
        </w:rPr>
        <w:t xml:space="preserve"> dagli architetti </w:t>
      </w:r>
      <w:r>
        <w:rPr>
          <w:b w:val="1"/>
          <w:bCs w:val="1"/>
          <w:sz w:val="22"/>
          <w:szCs w:val="22"/>
          <w:rtl w:val="0"/>
          <w:lang w:val="it-IT"/>
        </w:rPr>
        <w:t>Pio e Marcello Piacentini</w:t>
      </w:r>
      <w:r>
        <w:rPr>
          <w:sz w:val="22"/>
          <w:szCs w:val="22"/>
          <w:rtl w:val="0"/>
          <w:lang w:val="it-IT"/>
        </w:rPr>
        <w:t xml:space="preserve"> e situato a Roma in </w:t>
      </w:r>
      <w:r>
        <w:rPr>
          <w:b w:val="1"/>
          <w:bCs w:val="1"/>
          <w:sz w:val="22"/>
          <w:szCs w:val="22"/>
          <w:rtl w:val="0"/>
          <w:lang w:val="it-IT"/>
        </w:rPr>
        <w:t>Via Nomentana 116</w:t>
      </w:r>
      <w:r>
        <w:rPr>
          <w:sz w:val="22"/>
          <w:szCs w:val="22"/>
          <w:rtl w:val="0"/>
          <w:lang w:val="it-IT"/>
        </w:rPr>
        <w:t>), che ospit</w:t>
      </w:r>
      <w:r>
        <w:rPr>
          <w:sz w:val="22"/>
          <w:szCs w:val="22"/>
          <w:rtl w:val="0"/>
          <w:lang w:val="it-IT"/>
        </w:rPr>
        <w:t xml:space="preserve">ò </w:t>
      </w:r>
      <w:r>
        <w:rPr>
          <w:sz w:val="22"/>
          <w:szCs w:val="22"/>
          <w:rtl w:val="0"/>
          <w:lang w:val="it-IT"/>
        </w:rPr>
        <w:t>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Ambasciata Lituana per pochi anni, dal 1937 al 1940, quando fu confiscata dall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allora Unione</w:t>
      </w:r>
      <w:r>
        <w:rPr>
          <w:sz w:val="22"/>
          <w:szCs w:val="22"/>
          <w:rtl w:val="0"/>
          <w:lang w:val="it-IT"/>
        </w:rPr>
        <w:t xml:space="preserve"> Sovietica</w:t>
      </w:r>
      <w:r>
        <w:rPr>
          <w:sz w:val="22"/>
          <w:szCs w:val="22"/>
          <w:rtl w:val="0"/>
          <w:lang w:val="it-IT"/>
        </w:rPr>
        <w:t xml:space="preserve"> a diventando simbolicamente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ultimo territorio occupato e, dopo il crollo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URSS nel 1991, utilizzato come sede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Ufficio Consolare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Ambasciata di Russia in Italia. Oggi, terminate le contese sull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edificio, esso rimane un contenitore di </w:t>
      </w:r>
      <w:r>
        <w:rPr>
          <w:b w:val="1"/>
          <w:bCs w:val="1"/>
          <w:sz w:val="22"/>
          <w:szCs w:val="22"/>
          <w:rtl w:val="0"/>
          <w:lang w:val="it-IT"/>
        </w:rPr>
        <w:t>storie collettive e personali</w:t>
      </w:r>
      <w:r>
        <w:rPr>
          <w:sz w:val="22"/>
          <w:szCs w:val="22"/>
          <w:rtl w:val="0"/>
          <w:lang w:val="it-IT"/>
        </w:rPr>
        <w:t xml:space="preserve"> e un punto di partenza per analizzare una storia di liberazione dall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occupazione e il ruolo che vi ha svolto l</w:t>
      </w:r>
      <w:r>
        <w:rPr>
          <w:sz w:val="22"/>
          <w:szCs w:val="22"/>
          <w:rtl w:val="0"/>
          <w:lang w:val="it-IT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>arte</w:t>
      </w:r>
      <w:r>
        <w:rPr>
          <w:sz w:val="22"/>
          <w:szCs w:val="22"/>
          <w:rtl w:val="0"/>
          <w:lang w:val="it-IT"/>
        </w:rPr>
        <w:t xml:space="preserve">, in particolare il </w:t>
      </w:r>
      <w:r>
        <w:rPr>
          <w:b w:val="1"/>
          <w:bCs w:val="1"/>
          <w:sz w:val="22"/>
          <w:szCs w:val="22"/>
          <w:rtl w:val="0"/>
          <w:lang w:val="it-IT"/>
        </w:rPr>
        <w:t>rapporto tra esseri umani e animali come una possibile via di uscita dal conflitto e dalle sue sedimentazioni</w:t>
      </w:r>
      <w:r>
        <w:rPr>
          <w:sz w:val="22"/>
          <w:szCs w:val="22"/>
          <w:rtl w:val="0"/>
          <w:lang w:val="it-IT"/>
        </w:rPr>
        <w:t xml:space="preserve">.  </w:t>
      </w:r>
    </w:p>
    <w:p>
      <w:pPr>
        <w:pStyle w:val="Normal.0"/>
        <w:jc w:val="both"/>
        <w:rPr>
          <w:rStyle w:val="Nessuno A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Nomeda &amp; Gediminas Urbonas approcciano questa complessa storia diplomatica da una prospettiva artistica, procedendo alla ricerca della verit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storica attraverso il recupero di filmati di archivio inediti e intervistando alcuni testimoni, ma anche immaginando azioni che cerchino forme di riparazione dei rapporti tra i due Paesi. Tra queste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azione portante di tutto il progetto attinge alla </w:t>
      </w:r>
      <w:r>
        <w:rPr>
          <w:b w:val="1"/>
          <w:bCs w:val="1"/>
          <w:sz w:val="22"/>
          <w:szCs w:val="22"/>
          <w:rtl w:val="0"/>
          <w:lang w:val="it-IT"/>
        </w:rPr>
        <w:t>tradizione dei piccioni viaggiatori, utilizzati gi</w:t>
      </w:r>
      <w:r>
        <w:rPr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b w:val="1"/>
          <w:bCs w:val="1"/>
          <w:sz w:val="22"/>
          <w:szCs w:val="22"/>
          <w:rtl w:val="0"/>
          <w:lang w:val="it-IT"/>
        </w:rPr>
        <w:t>3000 anni fa da Egizi e Persiani ma impiegati anche durante i due conflitti mondiali del XX secolo per eludere i sabotaggi delle telecomunicazioni</w:t>
      </w:r>
      <w:r>
        <w:rPr>
          <w:sz w:val="22"/>
          <w:szCs w:val="22"/>
          <w:rtl w:val="0"/>
          <w:lang w:val="it-IT"/>
        </w:rPr>
        <w:t>. Nel 2007 gli artisti propongono infatti che il giardino del Consolato Russo ospiti una colombaia che riceva i volatili portatori di un segno di pace provenienti dal Padiglione lituano a Venezia. Al diniego si ipotizza che la base di ritorno possa essere ospitata all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EUR, dove a quel tempo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architetto italiano di origine lituana Massimiliano Fuksas sta costruendo il Nuovo Centro Congressi, </w:t>
      </w: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La Nuvola</w:t>
      </w:r>
      <w:r>
        <w:rPr>
          <w:sz w:val="22"/>
          <w:szCs w:val="22"/>
          <w:rtl w:val="0"/>
          <w:lang w:val="it-IT"/>
        </w:rPr>
        <w:t>”</w:t>
      </w:r>
      <w:r>
        <w:rPr>
          <w:sz w:val="22"/>
          <w:szCs w:val="22"/>
          <w:rtl w:val="0"/>
          <w:lang w:val="it-IT"/>
        </w:rPr>
        <w:t>, e accoglie entusiasticamente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idea degli artisti di ospitare la base dei colombi nei pressi del cantiere. Nonostante il supporto di molte istituzioni, tra le quali il Municipio IX e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allora Direzione Generale per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Architettura e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Arte Contemporanea del Ministero per i Beni e le Attivit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Culturali, anche quella possibilit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non si realizza. Urbonas sceglieranno, d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accordo con i molti addestratori con cui sono entrati in contatto in Italia, Lituania e Polonia, di liberare simbolicamente circa mille colombi il giorno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apertura del Padiglione lituano a Venezia, che faranno poi ritorno ai loro luoghi d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origine nel mese successivo. A Roma non verr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mai costruita nessuna colombaia, ma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installazione, che si inaugura nel 2023 al Museo delle Civilt</w:t>
      </w:r>
      <w:r>
        <w:rPr>
          <w:sz w:val="22"/>
          <w:szCs w:val="22"/>
          <w:rtl w:val="0"/>
          <w:lang w:val="it-IT"/>
        </w:rPr>
        <w:t>à</w:t>
      </w:r>
      <w:r>
        <w:rPr>
          <w:sz w:val="22"/>
          <w:szCs w:val="22"/>
          <w:rtl w:val="0"/>
          <w:lang w:val="it-IT"/>
        </w:rPr>
        <w:t xml:space="preserve">, riproduce </w:t>
      </w:r>
      <w:r>
        <w:rPr>
          <w:b w:val="1"/>
          <w:bCs w:val="1"/>
          <w:sz w:val="22"/>
          <w:szCs w:val="22"/>
          <w:rtl w:val="0"/>
          <w:lang w:val="it-IT"/>
        </w:rPr>
        <w:t>una colombaia con le sembianze di Villa Lituania</w:t>
      </w:r>
      <w:r>
        <w:rPr>
          <w:sz w:val="22"/>
          <w:szCs w:val="22"/>
          <w:rtl w:val="0"/>
          <w:lang w:val="it-IT"/>
        </w:rPr>
        <w:t xml:space="preserve">, disponendo intorno </w:t>
      </w:r>
      <w:r>
        <w:rPr>
          <w:b w:val="1"/>
          <w:bCs w:val="1"/>
          <w:sz w:val="22"/>
          <w:szCs w:val="22"/>
          <w:rtl w:val="0"/>
          <w:lang w:val="it-IT"/>
        </w:rPr>
        <w:t>cinque postazioni di proiezione con i vari video prodotti durante il processo</w:t>
      </w:r>
      <w:r>
        <w:rPr>
          <w:sz w:val="22"/>
          <w:szCs w:val="22"/>
          <w:rtl w:val="0"/>
          <w:lang w:val="it-IT"/>
        </w:rPr>
        <w:t>, a documentazione degli intrecci di storie che raccontano una vicenda apparentemente immobile nel suo contesto storico ma che si rivela, invece, estremamente attuale nell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immaginare l</w:t>
      </w:r>
      <w:r>
        <w:rPr>
          <w:sz w:val="22"/>
          <w:szCs w:val="22"/>
          <w:rtl w:val="0"/>
          <w:lang w:val="it-IT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>arte come uno strumento capace di riscrivere narrazioni e cambiare punti di vista, anche a molti anni di distanza, con dislocazioni spaziali e temporali inaspettate</w:t>
      </w:r>
      <w:r>
        <w:rPr>
          <w:sz w:val="22"/>
          <w:szCs w:val="22"/>
          <w:rtl w:val="0"/>
          <w:lang w:val="it-IT"/>
        </w:rPr>
        <w:t xml:space="preserve">. Questa mostra porta infatti finalmente la colombaia immaginata dagli artisti a Roma, a qualche metro da </w:t>
      </w: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La Nuvola</w:t>
      </w:r>
      <w:r>
        <w:rPr>
          <w:sz w:val="22"/>
          <w:szCs w:val="22"/>
          <w:rtl w:val="0"/>
          <w:lang w:val="it-IT"/>
        </w:rPr>
        <w:t xml:space="preserve">” </w:t>
      </w:r>
      <w:r>
        <w:rPr>
          <w:sz w:val="22"/>
          <w:szCs w:val="22"/>
          <w:rtl w:val="0"/>
          <w:lang w:val="it-IT"/>
        </w:rPr>
        <w:t xml:space="preserve">e qualche chilometro da Via Nomentana. </w:t>
      </w:r>
    </w:p>
    <w:p>
      <w:pPr>
        <w:pStyle w:val="Normal.0"/>
        <w:jc w:val="both"/>
        <w:rPr>
          <w:rStyle w:val="Nessuno A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ll Parlamento e il Governo della Lituania hanno proclamato il </w:t>
      </w:r>
      <w:r>
        <w:rPr>
          <w:b w:val="1"/>
          <w:bCs w:val="1"/>
          <w:sz w:val="22"/>
          <w:szCs w:val="22"/>
          <w:rtl w:val="0"/>
          <w:lang w:val="it-IT"/>
        </w:rPr>
        <w:t>2024</w:t>
      </w:r>
      <w:r>
        <w:rPr>
          <w:sz w:val="22"/>
          <w:szCs w:val="22"/>
          <w:rtl w:val="0"/>
          <w:lang w:val="it-IT"/>
        </w:rPr>
        <w:t xml:space="preserve"> come </w:t>
      </w:r>
      <w:r>
        <w:rPr>
          <w:b w:val="1"/>
          <w:bCs w:val="1"/>
          <w:sz w:val="22"/>
          <w:szCs w:val="22"/>
          <w:rtl w:val="0"/>
          <w:lang w:val="it-IT"/>
        </w:rPr>
        <w:t>Anno dei Diplomatici Lozoraitis</w:t>
      </w:r>
      <w:r>
        <w:rPr>
          <w:sz w:val="22"/>
          <w:szCs w:val="22"/>
          <w:rtl w:val="0"/>
          <w:lang w:val="it-IT"/>
        </w:rPr>
        <w:t>. L'anno 2024 segna il 125</w:t>
      </w:r>
      <w:r>
        <w:rPr>
          <w:rFonts w:ascii="Cambria" w:hAnsi="Cambria" w:hint="default"/>
          <w:sz w:val="22"/>
          <w:szCs w:val="22"/>
          <w:rtl w:val="0"/>
          <w:lang w:val="it-IT"/>
        </w:rPr>
        <w:t>°</w:t>
      </w:r>
      <w:r>
        <w:rPr>
          <w:sz w:val="22"/>
          <w:szCs w:val="22"/>
          <w:rtl w:val="0"/>
          <w:lang w:val="it-IT"/>
        </w:rPr>
        <w:t xml:space="preserve"> anniversario della nascita di </w:t>
      </w:r>
      <w:r>
        <w:rPr>
          <w:b w:val="1"/>
          <w:bCs w:val="1"/>
          <w:sz w:val="22"/>
          <w:szCs w:val="22"/>
          <w:rtl w:val="0"/>
          <w:lang w:val="it-IT"/>
        </w:rPr>
        <w:t>Stasys Lozoraitis Sr</w:t>
      </w:r>
      <w:r>
        <w:rPr>
          <w:sz w:val="22"/>
          <w:szCs w:val="22"/>
          <w:rtl w:val="0"/>
          <w:lang w:val="it-IT"/>
        </w:rPr>
        <w:t>, Ministro degli Affari Esteri della Repubblica di Lituania e Capo del Servizio Diplomatico lituano, e il 100</w:t>
      </w:r>
      <w:r>
        <w:rPr>
          <w:rFonts w:ascii="Cambria" w:hAnsi="Cambria" w:hint="default"/>
          <w:sz w:val="22"/>
          <w:szCs w:val="22"/>
          <w:rtl w:val="0"/>
          <w:lang w:val="it-IT"/>
        </w:rPr>
        <w:t>°</w:t>
      </w:r>
      <w:r>
        <w:rPr>
          <w:sz w:val="22"/>
          <w:szCs w:val="22"/>
          <w:rtl w:val="0"/>
          <w:lang w:val="it-IT"/>
        </w:rPr>
        <w:t xml:space="preserve"> anniversario della nascita di </w:t>
      </w:r>
      <w:r>
        <w:rPr>
          <w:b w:val="1"/>
          <w:bCs w:val="1"/>
          <w:sz w:val="22"/>
          <w:szCs w:val="22"/>
          <w:rtl w:val="0"/>
          <w:lang w:val="it-IT"/>
        </w:rPr>
        <w:t>Stasys Lozoraitis Jr</w:t>
      </w:r>
      <w:r>
        <w:rPr>
          <w:sz w:val="22"/>
          <w:szCs w:val="22"/>
          <w:rtl w:val="0"/>
          <w:lang w:val="it-IT"/>
        </w:rPr>
        <w:t xml:space="preserve">, rappresentante diplomatico lituano a Washington DC, che ha contribuito in modo significativo all'istituzione del servizio diplomatico lituano in esilio, </w:t>
      </w:r>
      <w:r>
        <w:rPr>
          <w:sz w:val="22"/>
          <w:szCs w:val="22"/>
          <w:rtl w:val="0"/>
          <w:lang w:val="it-IT"/>
        </w:rPr>
        <w:t> </w:t>
      </w:r>
      <w:r>
        <w:rPr>
          <w:sz w:val="22"/>
          <w:szCs w:val="22"/>
          <w:rtl w:val="0"/>
          <w:lang w:val="it-IT"/>
        </w:rPr>
        <w:t>il quale ha avuto una particolare rilevanza in riferimento al ripristino dell'indipendenza della Lituania e per la difesa della sovranit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statale nel XX secolo. Nel 2024 ricorre infine anche il 95</w:t>
      </w:r>
      <w:r>
        <w:rPr>
          <w:rFonts w:ascii="Cambria" w:hAnsi="Cambria" w:hint="default"/>
          <w:sz w:val="22"/>
          <w:szCs w:val="22"/>
          <w:rtl w:val="0"/>
          <w:lang w:val="it-IT"/>
        </w:rPr>
        <w:t>°</w:t>
      </w:r>
      <w:r>
        <w:rPr>
          <w:sz w:val="22"/>
          <w:szCs w:val="22"/>
          <w:rtl w:val="0"/>
          <w:lang w:val="it-IT"/>
        </w:rPr>
        <w:t xml:space="preserve"> anniversario della nascita di </w:t>
      </w:r>
      <w:r>
        <w:rPr>
          <w:b w:val="1"/>
          <w:bCs w:val="1"/>
          <w:sz w:val="22"/>
          <w:szCs w:val="22"/>
          <w:rtl w:val="0"/>
          <w:lang w:val="it-IT"/>
        </w:rPr>
        <w:t>Kazys Lozoraitis</w:t>
      </w:r>
      <w:r>
        <w:rPr>
          <w:sz w:val="22"/>
          <w:szCs w:val="22"/>
          <w:rtl w:val="0"/>
          <w:lang w:val="it-IT"/>
        </w:rPr>
        <w:t>, Ambasciatore della Lituania presso la Santa Sede.</w:t>
      </w:r>
    </w:p>
    <w:p>
      <w:pPr>
        <w:pStyle w:val="Normal.0"/>
        <w:jc w:val="both"/>
        <w:rPr>
          <w:rStyle w:val="Nessuno A"/>
          <w:sz w:val="22"/>
          <w:szCs w:val="22"/>
        </w:rPr>
      </w:pPr>
    </w:p>
    <w:p>
      <w:pPr>
        <w:pStyle w:val="Normal.0"/>
        <w:jc w:val="both"/>
        <w:rPr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Biografia</w:t>
      </w:r>
    </w:p>
    <w:p>
      <w:pPr>
        <w:pStyle w:val="Normal.0"/>
        <w:jc w:val="both"/>
        <w:rPr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Dal 2009, gli artisti </w:t>
      </w:r>
      <w:r>
        <w:rPr>
          <w:b w:val="1"/>
          <w:b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Nomeda e Gediminas Urbonas</w:t>
      </w:r>
      <w:r>
        <w:rPr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sono professori del programma </w:t>
      </w:r>
      <w:r>
        <w:rPr>
          <w:i w:val="1"/>
          <w:i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Art, Culture, and Technology </w:t>
      </w:r>
      <w:r>
        <w:rPr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presso il MIT di Boston, negli Stati Uniti. Il loro lavoro di ricerca </w:t>
      </w:r>
      <w:r>
        <w:rPr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stato presentato presso, fra le altre mostre: documenta11 (2002), 3a Biennale di Berlino (2004), </w:t>
      </w:r>
      <w:r>
        <w:rPr>
          <w:i w:val="1"/>
          <w:i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Pro-test Lab</w:t>
      </w:r>
      <w:r>
        <w:rPr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(sedi varie, Vilnius, 2005-2007), 32a Biennale di San Paolo (2016) e </w:t>
      </w:r>
      <w:r>
        <w:rPr>
          <w:i w:val="1"/>
          <w:i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Critical Zones</w:t>
      </w:r>
      <w:r>
        <w:rPr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(ZKM, Karlsruhe, 2020). Gli artisti hanno anche presentato i progetti </w:t>
      </w:r>
      <w:r>
        <w:rPr>
          <w:i w:val="1"/>
          <w:i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Villa Lituania</w:t>
      </w:r>
      <w:r>
        <w:rPr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 </w:t>
      </w:r>
      <w:r>
        <w:rPr>
          <w:i w:val="1"/>
          <w:i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The Swamp School</w:t>
      </w:r>
      <w:r>
        <w:rPr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come Padiglioni lituani, rispettivamente, alla 52</w:t>
      </w:r>
      <w:r>
        <w:rPr>
          <w:rFonts w:ascii="Cambria" w:hAnsi="Cambria" w:hint="default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ª</w:t>
      </w:r>
      <w:r>
        <w:rPr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Biennale d'Arte di Venezia (2007) e alla 16</w:t>
      </w:r>
      <w:r>
        <w:rPr>
          <w:rFonts w:ascii="Cambria" w:hAnsi="Cambria" w:hint="default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ª</w:t>
      </w:r>
      <w:r>
        <w:rPr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Biennale di Architettura di Venezia (2018). Nel 2023 la National Gallery of Art di Vilnius ha dedicato gli artisti la retrospettiva </w:t>
      </w:r>
      <w:r>
        <w:rPr>
          <w:i w:val="1"/>
          <w:i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Partially Swamped Institution</w:t>
      </w:r>
      <w:r>
        <w:rPr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Urbonas hanno inoltre organizzato simposi come </w:t>
      </w:r>
      <w:r>
        <w:rPr>
          <w:i w:val="1"/>
          <w:i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Artistic Intelligence? Making it together in the Multispecies World</w:t>
      </w:r>
      <w:r>
        <w:rPr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presso l</w:t>
      </w:r>
      <w:r>
        <w:rPr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Universit</w:t>
      </w:r>
      <w:r>
        <w:rPr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Bologna (2023), </w:t>
      </w:r>
      <w:r>
        <w:rPr>
          <w:i w:val="1"/>
          <w:i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Zooetics+</w:t>
      </w:r>
      <w:r>
        <w:rPr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al MIT di Boston (2018), </w:t>
      </w:r>
      <w:r>
        <w:rPr>
          <w:i w:val="1"/>
          <w:i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The Future Fictions Summit</w:t>
      </w:r>
      <w:r>
        <w:rPr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ad Asbr</w:t>
      </w:r>
      <w:r>
        <w:rPr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-Reykjav</w:t>
      </w:r>
      <w:r>
        <w:rPr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k (2016). </w:t>
      </w:r>
      <w:r>
        <w:rPr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Tra le loro pubblicazioni: </w:t>
      </w:r>
      <w:r>
        <w:rPr>
          <w:i w:val="1"/>
          <w:iCs w:val="1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Swamps and the New Imagination</w:t>
      </w:r>
      <w:r>
        <w:rPr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(Sternberg Press/MIT Press, 2023), </w:t>
      </w:r>
      <w:r>
        <w:rPr>
          <w:i w:val="1"/>
          <w:iCs w:val="1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Public Space? Lost &amp; Found</w:t>
      </w:r>
      <w:r>
        <w:rPr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(SA+P Press/MIT Press, 2017) e </w:t>
      </w:r>
      <w:r>
        <w:rPr>
          <w:i w:val="1"/>
          <w:iCs w:val="1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Devices for Action</w:t>
      </w:r>
      <w:r>
        <w:rPr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(MACBA, 2008). </w:t>
      </w:r>
      <w:r>
        <w:rPr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Le loro opere fanno parte delle collezioni pubbliche, tra altre istituzioni, di MO Museum of Modern Art, Vilnius, MACBA, Barcellona, Museum of Contemporary Art Kiasma, Helsinki.</w:t>
      </w:r>
    </w:p>
    <w:p>
      <w:pPr>
        <w:pStyle w:val="Normal.0"/>
        <w:jc w:val="both"/>
        <w:rPr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256"/>
        <w:gridCol w:w="2784"/>
        <w:gridCol w:w="1541"/>
        <w:gridCol w:w="2051"/>
      </w:tblGrid>
      <w:tr>
        <w:tblPrEx>
          <w:shd w:val="clear" w:color="auto" w:fill="cdd4e9"/>
        </w:tblPrEx>
        <w:trPr>
          <w:trHeight w:val="640" w:hRule="atLeast"/>
        </w:trPr>
        <w:tc>
          <w:tcPr>
            <w:tcW w:type="dxa" w:w="32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z w:val="21"/>
                <w:szCs w:val="21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1925658" cy="359456"/>
                  <wp:effectExtent l="0" t="0" r="0" b="0"/>
                  <wp:docPr id="1073741828" name="officeArt object" descr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magine 2" descr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658" cy="35945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z w:val="21"/>
                <w:szCs w:val="21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1629921" cy="359516"/>
                  <wp:effectExtent l="0" t="0" r="0" b="0"/>
                  <wp:docPr id="1073741829" name="officeArt object" descr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magine 3" descr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0" t="27530" r="0" b="281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921" cy="35951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z w:val="21"/>
                <w:szCs w:val="21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824400" cy="359356"/>
                  <wp:effectExtent l="0" t="0" r="0" b="0"/>
                  <wp:docPr id="1073741830" name="officeArt object" descr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magine 1" descr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 l="18128" t="29599" r="17599" b="214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400" cy="35935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0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z w:val="21"/>
                <w:szCs w:val="21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911832" cy="360000"/>
                  <wp:effectExtent l="0" t="0" r="0" b="0"/>
                  <wp:docPr id="1073741831" name="officeArt object" descr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magine 4" descr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l="0" t="18835" r="0" b="199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832" cy="36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.0"/>
        <w:widowControl w:val="0"/>
        <w:ind w:left="108" w:hanging="108"/>
        <w:rPr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jc w:val="both"/>
        <w:rPr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Style w:val="Nessuno A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Museo delle Civilt</w:t>
      </w:r>
      <w:r>
        <w:rPr>
          <w:b w:val="1"/>
          <w:bCs w:val="1"/>
          <w:sz w:val="22"/>
          <w:szCs w:val="22"/>
          <w:rtl w:val="0"/>
          <w:lang w:val="it-IT"/>
        </w:rPr>
        <w:t>à</w:t>
      </w:r>
    </w:p>
    <w:p>
      <w:pPr>
        <w:pStyle w:val="Normal.0"/>
        <w:rPr>
          <w:rStyle w:val="Nessuno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"mailto:mu-civ.comunicazione@cultura.gov.it"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mu-civ.comunicazione@cultura.gov.it</w:t>
      </w:r>
      <w:r>
        <w:rPr/>
        <w:fldChar w:fldCharType="end" w:fldLock="0"/>
      </w:r>
    </w:p>
    <w:p>
      <w:pPr>
        <w:pStyle w:val="Normal.0"/>
        <w:jc w:val="both"/>
        <w:rPr>
          <w:rStyle w:val="Nessuno A"/>
          <w:sz w:val="22"/>
          <w:szCs w:val="22"/>
        </w:rPr>
      </w:pPr>
    </w:p>
    <w:p>
      <w:pPr>
        <w:pStyle w:val="Normal.0"/>
        <w:jc w:val="both"/>
        <w:rPr>
          <w:rStyle w:val="Nessuno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>Lara Facco P&amp;C</w:t>
      </w:r>
    </w:p>
    <w:p>
      <w:pPr>
        <w:pStyle w:val="Normal.0"/>
        <w:jc w:val="both"/>
        <w:rPr>
          <w:rStyle w:val="Nessuno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"mailto:museodellecivilta@larafacco.com"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museodellecivilta@larafacco.com</w:t>
      </w:r>
      <w:r>
        <w:rPr/>
        <w:fldChar w:fldCharType="end" w:fldLock="0"/>
      </w:r>
      <w:r>
        <w:rPr>
          <w:rStyle w:val="Nessuno"/>
          <w:sz w:val="22"/>
          <w:szCs w:val="22"/>
          <w:rtl w:val="0"/>
          <w:lang w:val="it-IT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"mailto:press@larafacco.com"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press@larafacco.com</w:t>
      </w:r>
      <w:r>
        <w:rPr/>
        <w:fldChar w:fldCharType="end" w:fldLock="0"/>
      </w:r>
      <w:r>
        <w:rPr>
          <w:rStyle w:val="Hyperlink.0"/>
          <w:rtl w:val="0"/>
          <w:lang w:val="it-IT"/>
        </w:rPr>
        <w:t xml:space="preserve"> </w:t>
      </w:r>
      <w:r>
        <w:rPr>
          <w:rStyle w:val="Nessuno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 xml:space="preserve">Lara Facco: +39 3492529989,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"mailto:lara@larafacco.com"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lara@larafacco.com</w:t>
      </w:r>
      <w:r>
        <w:rPr/>
        <w:fldChar w:fldCharType="end" w:fldLock="0"/>
      </w:r>
      <w:r>
        <w:rPr>
          <w:rStyle w:val="Nessuno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 xml:space="preserve">Camilla Capponi: +39 3663947098,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"mailto:camilla@larafacco.com"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camilla@larafacco.com</w:t>
      </w:r>
      <w:r>
        <w:rPr/>
        <w:fldChar w:fldCharType="end" w:fldLock="0"/>
      </w:r>
      <w:r>
        <w:rPr>
          <w:rStyle w:val="Nessuno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 xml:space="preserve">Marianita Santarossa: +39 3334224032,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"mailto:marianita@larafacco.com"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marianita@larafacco.com</w:t>
      </w:r>
      <w:r>
        <w:rPr/>
        <w:fldChar w:fldCharType="end" w:fldLock="0"/>
      </w:r>
      <w:r>
        <w:rPr>
          <w:rStyle w:val="Nessuno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 xml:space="preserve">Margherita Villani: +39 3406932188,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"mailto:margheritavillani@larafacco.com"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margheritavillani@larafacco.com</w:t>
      </w:r>
      <w:r>
        <w:rPr/>
        <w:fldChar w:fldCharType="end" w:fldLock="0"/>
      </w:r>
      <w:r>
        <w:rPr>
          <w:rStyle w:val="Nessuno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rPr>
          <w:rStyle w:val="Nessuno A"/>
          <w:sz w:val="22"/>
          <w:szCs w:val="22"/>
        </w:rPr>
      </w:pPr>
    </w:p>
    <w:p>
      <w:pPr>
        <w:pStyle w:val="Normal.0"/>
        <w:rPr>
          <w:rStyle w:val="Nessuno"/>
          <w:b w:val="1"/>
          <w:bCs w:val="1"/>
          <w:sz w:val="22"/>
          <w:szCs w:val="22"/>
        </w:rPr>
      </w:pPr>
      <w:r>
        <w:rPr>
          <w:rStyle w:val="Nessuno"/>
          <w:b w:val="1"/>
          <w:bCs w:val="1"/>
          <w:sz w:val="22"/>
          <w:szCs w:val="22"/>
          <w:rtl w:val="0"/>
          <w:lang w:val="it-IT"/>
        </w:rPr>
        <w:t xml:space="preserve">Ambasciata di Lituania in Italia </w:t>
      </w:r>
    </w:p>
    <w:p>
      <w:pPr>
        <w:pStyle w:val="Normal.0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 xml:space="preserve">Ufficio stampa Lozoraitis Family's Year 2024 </w:t>
      </w:r>
    </w:p>
    <w:p>
      <w:pPr>
        <w:pStyle w:val="Normal.0"/>
      </w:pPr>
      <w:r>
        <w:rPr>
          <w:rStyle w:val="Nessuno"/>
          <w:sz w:val="22"/>
          <w:szCs w:val="22"/>
          <w:rtl w:val="0"/>
          <w:lang w:val="it-IT"/>
        </w:rPr>
        <w:t>Maria Cristina Bastante: +39 339 5853057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"mailto:cristina.bastante@virgilio.it"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cristina.bastante@virgilio.it</w:t>
      </w:r>
      <w:r>
        <w:rPr/>
        <w:fldChar w:fldCharType="end" w:fldLock="0"/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</w:t>
      </w:r>
    </w:p>
    <w:sectPr>
      <w:headerReference w:type="default" r:id="rId8"/>
      <w:footerReference w:type="default" r:id="rId9"/>
      <w:pgSz w:w="11900" w:h="16840" w:orient="portrait"/>
      <w:pgMar w:top="2426" w:right="1134" w:bottom="1134" w:left="1134" w:header="708" w:footer="1687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819"/>
        <w:tab w:val="right" w:pos="9612"/>
      </w:tabs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-143972</wp:posOffset>
          </wp:positionH>
          <wp:positionV relativeFrom="page">
            <wp:posOffset>-163448</wp:posOffset>
          </wp:positionV>
          <wp:extent cx="7543800" cy="1600556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6005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-67913</wp:posOffset>
          </wp:positionH>
          <wp:positionV relativeFrom="page">
            <wp:posOffset>9393555</wp:posOffset>
          </wp:positionV>
          <wp:extent cx="7575373" cy="1273172"/>
          <wp:effectExtent l="0" t="0" r="0" b="0"/>
          <wp:wrapNone/>
          <wp:docPr id="1073741827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 descr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373" cy="12731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2853173" cy="614995"/>
          <wp:effectExtent l="0" t="0" r="0" b="0"/>
          <wp:docPr id="1073741825" name="officeArt object" descr="Immagine che contiene testo, Carattere, scheletro, design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testo, Carattere, scheletro, designDescrizione generata automaticamente" descr="Immagine che contiene testo, Carattere, scheletro, designDescrizione generata automaticamente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173" cy="6149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libri" w:cs="Calibri" w:hAnsi="Calibri" w:eastAsia="Calibri"/>
      <w:sz w:val="22"/>
      <w:szCs w:val="22"/>
      <w:u w:val="single"/>
    </w:rPr>
  </w:style>
  <w:style w:type="character" w:styleId="Hyperlink.1">
    <w:name w:val="Hyperlink.1"/>
    <w:basedOn w:val="Nessuno"/>
    <w:next w:val="Hyperlink.1"/>
    <w:rPr>
      <w:rFonts w:ascii="Calibri" w:cs="Calibri" w:hAnsi="Calibri" w:eastAsia="Calibri"/>
      <w:outline w:val="0"/>
      <w:color w:val="000000"/>
      <w:sz w:val="22"/>
      <w:szCs w:val="22"/>
      <w:u w:val="singl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