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7579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12B1924E" w14:textId="77777777" w:rsidR="004A35BC" w:rsidRDefault="00CC5BD4">
      <w:pPr>
        <w:shd w:val="clear" w:color="auto" w:fill="FFFFFF"/>
        <w:jc w:val="center"/>
        <w:rPr>
          <w:rFonts w:ascii="Helvetica Neue" w:eastAsia="Helvetica Neue" w:hAnsi="Helvetica Neue" w:cs="Helvetica Neue"/>
          <w:u w:val="single"/>
        </w:rPr>
      </w:pPr>
      <w:r>
        <w:rPr>
          <w:noProof/>
        </w:rPr>
        <w:drawing>
          <wp:inline distT="0" distB="0" distL="0" distR="0" wp14:anchorId="2E1BA327" wp14:editId="754EDE37">
            <wp:extent cx="1385570" cy="1384936"/>
            <wp:effectExtent l="0" t="0" r="0" b="0"/>
            <wp:docPr id="1073741826" name="image1.jpg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4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66AAA" w14:textId="77777777" w:rsidR="004A35BC" w:rsidRPr="00BC27EC" w:rsidRDefault="00CC5BD4">
      <w:pP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 w:rsidRPr="00BC27EC">
        <w:rPr>
          <w:rFonts w:ascii="Helvetica Neue" w:eastAsia="Helvetica Neue" w:hAnsi="Helvetica Neue" w:cs="Helvetica Neue"/>
          <w:sz w:val="22"/>
          <w:szCs w:val="22"/>
          <w:u w:val="single"/>
        </w:rPr>
        <w:t>Comunicato</w:t>
      </w:r>
      <w:proofErr w:type="spellEnd"/>
      <w:r w:rsidRPr="00BC27EC"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 </w:t>
      </w:r>
      <w:proofErr w:type="spellStart"/>
      <w:r w:rsidRPr="00BC27EC">
        <w:rPr>
          <w:rFonts w:ascii="Helvetica Neue" w:eastAsia="Helvetica Neue" w:hAnsi="Helvetica Neue" w:cs="Helvetica Neue"/>
          <w:sz w:val="22"/>
          <w:szCs w:val="22"/>
          <w:u w:val="single"/>
        </w:rPr>
        <w:t>stampa</w:t>
      </w:r>
      <w:proofErr w:type="spellEnd"/>
    </w:p>
    <w:p w14:paraId="4576DBAB" w14:textId="77777777" w:rsidR="004A35BC" w:rsidRPr="00BC27EC" w:rsidRDefault="004A35BC">
      <w:pPr>
        <w:shd w:val="clear" w:color="auto" w:fill="FFFFFF"/>
        <w:jc w:val="center"/>
        <w:rPr>
          <w:rFonts w:ascii="Helvetica Neue" w:eastAsia="Helvetica Neue" w:hAnsi="Helvetica Neue" w:cs="Helvetica Neue"/>
          <w:b/>
          <w:i/>
          <w:sz w:val="22"/>
          <w:szCs w:val="22"/>
        </w:rPr>
      </w:pPr>
    </w:p>
    <w:p w14:paraId="5A42B825" w14:textId="580980B7" w:rsidR="004A35BC" w:rsidRDefault="006A450B" w:rsidP="006A450B">
      <w:pPr>
        <w:shd w:val="clear" w:color="auto" w:fill="FFFFFF"/>
        <w:jc w:val="center"/>
        <w:rPr>
          <w:b/>
          <w:bCs/>
          <w:i/>
          <w:iCs/>
        </w:rPr>
      </w:pPr>
      <w:r w:rsidRPr="006A450B">
        <w:rPr>
          <w:b/>
          <w:bCs/>
          <w:i/>
          <w:iCs/>
        </w:rPr>
        <w:t>When the trees touch the clouds</w:t>
      </w:r>
    </w:p>
    <w:p w14:paraId="7F9BDF61" w14:textId="77777777" w:rsidR="006A450B" w:rsidRPr="006A450B" w:rsidRDefault="006A450B" w:rsidP="006A450B">
      <w:pPr>
        <w:shd w:val="clear" w:color="auto" w:fill="FFFFFF"/>
        <w:jc w:val="center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</w:pPr>
    </w:p>
    <w:p w14:paraId="22074929" w14:textId="77777777" w:rsidR="006A450B" w:rsidRPr="006A450B" w:rsidRDefault="00CC5BD4" w:rsidP="006A450B">
      <w:pPr>
        <w:pStyle w:val="Corpo"/>
        <w:jc w:val="center"/>
      </w:pPr>
      <w:r w:rsidRPr="00F32B1B">
        <w:rPr>
          <w:rFonts w:eastAsia="Helvetica Neue" w:cs="Helvetica Neue"/>
        </w:rPr>
        <w:t xml:space="preserve">mostra personale di </w:t>
      </w:r>
      <w:r w:rsidR="006A450B" w:rsidRPr="006A450B">
        <w:t>Brian Scott Campbell</w:t>
      </w:r>
    </w:p>
    <w:p w14:paraId="4C9F5029" w14:textId="0C8E6757" w:rsidR="004A35BC" w:rsidRPr="00F32B1B" w:rsidRDefault="004A35BC">
      <w:pP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16D3243E" w14:textId="5EB487AB" w:rsidR="004A35BC" w:rsidRPr="00F32B1B" w:rsidRDefault="006A45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lang w:val="it-IT"/>
        </w:rPr>
      </w:pPr>
      <w:r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24</w:t>
      </w:r>
      <w:r w:rsidR="00CC5BD4"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 xml:space="preserve"> Maggio </w:t>
      </w:r>
      <w:r w:rsidR="00BC27EC"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–</w:t>
      </w:r>
      <w:r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 xml:space="preserve"> </w:t>
      </w:r>
      <w:r w:rsidR="00BC27EC"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 xml:space="preserve">29 </w:t>
      </w:r>
      <w:r w:rsidR="00A80109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>Luglio</w:t>
      </w:r>
      <w:r w:rsidR="00BC27EC" w:rsidRPr="00BC27EC">
        <w:rPr>
          <w:rFonts w:ascii="Helvetica Neue" w:eastAsia="Helvetica Neue" w:hAnsi="Helvetica Neue" w:cs="Helvetica Neue"/>
          <w:b/>
          <w:sz w:val="22"/>
          <w:szCs w:val="22"/>
          <w:lang w:val="it-IT"/>
        </w:rPr>
        <w:t xml:space="preserve"> 2022</w:t>
      </w:r>
    </w:p>
    <w:p w14:paraId="3D220EDA" w14:textId="77777777" w:rsidR="004A35BC" w:rsidRPr="00F32B1B" w:rsidRDefault="004A35B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</w:pPr>
    </w:p>
    <w:p w14:paraId="53514F77" w14:textId="63EA707A" w:rsidR="004A35BC" w:rsidRPr="006A450B" w:rsidRDefault="00CC5BD4" w:rsidP="006A450B">
      <w:pP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</w:pPr>
      <w:r w:rsidRPr="00F32B1B"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  <w:t xml:space="preserve">Inaugurazione </w:t>
      </w:r>
      <w:r w:rsidR="006A450B"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  <w:t>martedì 24 Maggio</w:t>
      </w:r>
      <w:r w:rsidRPr="00F32B1B"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  <w:t xml:space="preserve"> 2022 dalle 1</w:t>
      </w:r>
      <w:r w:rsidR="006A450B"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  <w:t>6</w:t>
      </w:r>
      <w:r w:rsidRPr="00F32B1B">
        <w:rPr>
          <w:rFonts w:ascii="Helvetica Neue" w:eastAsia="Helvetica Neue" w:hAnsi="Helvetica Neue" w:cs="Helvetica Neue"/>
          <w:sz w:val="22"/>
          <w:szCs w:val="22"/>
          <w:u w:val="single"/>
          <w:lang w:val="it-IT"/>
        </w:rPr>
        <w:t>.00 alle 20.00</w:t>
      </w:r>
    </w:p>
    <w:p w14:paraId="71626D15" w14:textId="77777777" w:rsidR="004A35BC" w:rsidRPr="00F32B1B" w:rsidRDefault="004A35BC">
      <w:pPr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67FFAB33" w14:textId="77777777" w:rsidR="004A35BC" w:rsidRPr="00F32B1B" w:rsidRDefault="004A35BC">
      <w:pPr>
        <w:rPr>
          <w:rFonts w:ascii="Helvetica Neue" w:eastAsia="Helvetica Neue" w:hAnsi="Helvetica Neue" w:cs="Helvetica Neue"/>
          <w:sz w:val="22"/>
          <w:szCs w:val="22"/>
          <w:lang w:val="it-IT"/>
        </w:rPr>
      </w:pPr>
    </w:p>
    <w:p w14:paraId="5657A502" w14:textId="03C174E7" w:rsidR="004A35BC" w:rsidRPr="00494BBC" w:rsidRDefault="00CC5BD4" w:rsidP="006A450B">
      <w:pPr>
        <w:pStyle w:val="Corpo"/>
        <w:rPr>
          <w:rFonts w:eastAsia="Helvetica Neue" w:cs="Helvetica Neue"/>
        </w:rPr>
      </w:pPr>
      <w:r w:rsidRPr="00494BBC">
        <w:rPr>
          <w:rFonts w:eastAsia="Helvetica Neue" w:cs="Helvetica Neue"/>
        </w:rPr>
        <w:t xml:space="preserve">La Galleria Richter è lieta di presentare </w:t>
      </w:r>
      <w:r w:rsidR="006A450B" w:rsidRPr="00494BBC">
        <w:rPr>
          <w:rFonts w:eastAsia="Helvetica Neue" w:cs="Helvetica Neue"/>
          <w:b/>
        </w:rPr>
        <w:t>martedì 24 Maggio</w:t>
      </w:r>
      <w:r w:rsidRPr="00494BBC">
        <w:rPr>
          <w:rFonts w:eastAsia="Helvetica Neue" w:cs="Helvetica Neue"/>
        </w:rPr>
        <w:t xml:space="preserve"> </w:t>
      </w:r>
      <w:proofErr w:type="spellStart"/>
      <w:r w:rsidR="006A450B" w:rsidRPr="00494BBC">
        <w:rPr>
          <w:i/>
          <w:iCs/>
        </w:rPr>
        <w:t>When</w:t>
      </w:r>
      <w:proofErr w:type="spellEnd"/>
      <w:r w:rsidR="006A450B" w:rsidRPr="00494BBC">
        <w:rPr>
          <w:i/>
          <w:iCs/>
        </w:rPr>
        <w:t xml:space="preserve"> the </w:t>
      </w:r>
      <w:proofErr w:type="spellStart"/>
      <w:r w:rsidR="006A450B" w:rsidRPr="00494BBC">
        <w:rPr>
          <w:i/>
          <w:iCs/>
        </w:rPr>
        <w:t>trees</w:t>
      </w:r>
      <w:proofErr w:type="spellEnd"/>
      <w:r w:rsidR="006A450B" w:rsidRPr="00494BBC">
        <w:rPr>
          <w:i/>
          <w:iCs/>
        </w:rPr>
        <w:t xml:space="preserve"> </w:t>
      </w:r>
      <w:proofErr w:type="spellStart"/>
      <w:r w:rsidR="006A450B" w:rsidRPr="00494BBC">
        <w:rPr>
          <w:i/>
          <w:iCs/>
        </w:rPr>
        <w:t>touch</w:t>
      </w:r>
      <w:proofErr w:type="spellEnd"/>
      <w:r w:rsidR="006A450B" w:rsidRPr="00494BBC">
        <w:rPr>
          <w:i/>
          <w:iCs/>
        </w:rPr>
        <w:t xml:space="preserve"> the </w:t>
      </w:r>
      <w:proofErr w:type="spellStart"/>
      <w:r w:rsidR="006A450B" w:rsidRPr="00494BBC">
        <w:rPr>
          <w:i/>
          <w:iCs/>
        </w:rPr>
        <w:t>clouds</w:t>
      </w:r>
      <w:proofErr w:type="spellEnd"/>
      <w:r w:rsidRPr="00494BBC">
        <w:rPr>
          <w:rFonts w:eastAsia="Helvetica Neue" w:cs="Helvetica Neue"/>
        </w:rPr>
        <w:t xml:space="preserve">, </w:t>
      </w:r>
      <w:r w:rsidR="006A450B" w:rsidRPr="00494BBC">
        <w:rPr>
          <w:rFonts w:eastAsia="Helvetica Neue" w:cs="Helvetica Neue"/>
        </w:rPr>
        <w:t xml:space="preserve">la prima </w:t>
      </w:r>
      <w:r w:rsidRPr="00494BBC">
        <w:rPr>
          <w:rFonts w:eastAsia="Helvetica Neue" w:cs="Helvetica Neue"/>
        </w:rPr>
        <w:t xml:space="preserve">mostra personale di </w:t>
      </w:r>
      <w:r w:rsidR="006A450B" w:rsidRPr="00494BBC">
        <w:rPr>
          <w:b/>
          <w:bCs/>
        </w:rPr>
        <w:t>Brian Scott Campbell</w:t>
      </w:r>
      <w:r w:rsidR="006A450B" w:rsidRPr="00494BBC">
        <w:t xml:space="preserve"> in Italia</w:t>
      </w:r>
      <w:r w:rsidRPr="00494BBC">
        <w:rPr>
          <w:rFonts w:eastAsia="Helvetica Neue" w:cs="Helvetica Neue"/>
        </w:rPr>
        <w:t xml:space="preserve">. </w:t>
      </w:r>
    </w:p>
    <w:p w14:paraId="2FAE6DAD" w14:textId="51B262AF" w:rsidR="00BC27EC" w:rsidRPr="00494BBC" w:rsidRDefault="00BC27EC" w:rsidP="006A450B">
      <w:pPr>
        <w:pStyle w:val="Corpo"/>
        <w:rPr>
          <w:rFonts w:eastAsia="Helvetica Neue" w:cs="Helvetica Neue"/>
        </w:rPr>
      </w:pPr>
    </w:p>
    <w:p w14:paraId="49D5A587" w14:textId="71B6B5D9" w:rsidR="00BC27EC" w:rsidRPr="00BC27EC" w:rsidRDefault="006B1DDA" w:rsidP="00BC27EC">
      <w:pPr>
        <w:rPr>
          <w:rFonts w:ascii="Helvetica Neue" w:hAnsi="Helvetica Neue" w:cs="Times New Roman"/>
          <w:color w:val="auto"/>
          <w:sz w:val="22"/>
          <w:szCs w:val="22"/>
          <w:lang w:val="it-IT"/>
        </w:rPr>
      </w:pPr>
      <w:r w:rsidRPr="00494BB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>“</w:t>
      </w:r>
      <w:r w:rsidR="00BC27EC" w:rsidRPr="00BC27E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 xml:space="preserve">I lavori di Brian Scott Campbell </w:t>
      </w:r>
      <w:r w:rsidRPr="00494BB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 xml:space="preserve">- afferma l’autore del testo critico Giuseppe </w:t>
      </w:r>
      <w:proofErr w:type="spellStart"/>
      <w:r w:rsidRPr="00494BB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>Armogida</w:t>
      </w:r>
      <w:proofErr w:type="spellEnd"/>
      <w:r w:rsidRPr="00494BB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 xml:space="preserve"> - </w:t>
      </w:r>
      <w:r w:rsidR="00BC27EC" w:rsidRPr="00BC27E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>sono blocchi di movimento, simili a concrezioni, a formazioni calcaree, in cui si è coagulata una pluralità di stati di sensazione. Sono contemplazioni pure, che assicurano immediatamente l’identità fra mentale e fisico, reale e immaginario, mondo e io. In essi tutto sembra ordinario e regolare. È come se Scott Campbell, tramite un linguaggio segreto che possiamo sentire e vedere ma non pronunciare, volesse riannodare ciò che l’uomo ha spezzato, riparare ciò che l’uomo vede infranto</w:t>
      </w:r>
      <w:r w:rsidRPr="00494BB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>”</w:t>
      </w:r>
      <w:r w:rsidR="00BC27EC" w:rsidRPr="00BC27EC"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val="it-IT"/>
        </w:rPr>
        <w:t>.</w:t>
      </w:r>
    </w:p>
    <w:p w14:paraId="3E3C8F1A" w14:textId="77777777" w:rsidR="00F32B1B" w:rsidRPr="00494BBC" w:rsidRDefault="00F32B1B" w:rsidP="00F32B1B">
      <w:pPr>
        <w:pStyle w:val="Corpo"/>
      </w:pPr>
    </w:p>
    <w:p w14:paraId="344A9C68" w14:textId="27834339" w:rsidR="00F32B1B" w:rsidRPr="00494BBC" w:rsidRDefault="00A038E1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pittore</w:t>
      </w:r>
      <w:r w:rsidR="0016687D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americano, classe 1983, rappresenta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paesaggi</w:t>
      </w:r>
      <w:r w:rsidR="0016687D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combinan</w:t>
      </w:r>
      <w:r w:rsidR="0016687D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insieme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iconografie quotidiane, archetipi e allucinazioni. </w:t>
      </w:r>
      <w:r w:rsidR="0016687D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Gli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spazi che gli interessano sono allo stesso tempo portali verso 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luoghi fisici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tuttavia completamente artificiali. In quanto tale, l'immaginario del suo lavoro riflette l'idea della memoria stessa, come una raccolta di esperienze reali e immaginarie.</w:t>
      </w:r>
    </w:p>
    <w:p w14:paraId="2D5F11F5" w14:textId="404F213E" w:rsidR="00F32B1B" w:rsidRPr="00494BBC" w:rsidRDefault="00F32B1B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dipinti</w:t>
      </w:r>
      <w:r w:rsidR="00A038E1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principalmente in scala di grigi con frequenti tratti di colore tenue,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suggeriscono scene e paesaggi con linee rudimentali e geometrie semplici.</w:t>
      </w:r>
    </w:p>
    <w:p w14:paraId="3340A51E" w14:textId="77777777" w:rsidR="00F32B1B" w:rsidRPr="00494BBC" w:rsidRDefault="00F32B1B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Raffigurano paesaggi astratti popolati da alberi, montagne, terreni agricoli ondulati e specchi d’acqua.</w:t>
      </w:r>
    </w:p>
    <w:p w14:paraId="1535938D" w14:textId="1228D77F" w:rsidR="00F32B1B" w:rsidRPr="00494BBC" w:rsidRDefault="00A038E1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Campbell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usa gli elementi base della geometria semplice: soli rotondi, alberi rettilinei o montagne triangolari e barche a vela come elementi costitutivi facilmente comprensibili. Eppure, ogni arrangiamento accurato nuota in un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insieme</w:t>
      </w:r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ingannevolmente complesso di allusioni ai pittori americani dell'inizio del XX secolo come Arthur Dove, </w:t>
      </w:r>
      <w:proofErr w:type="spellStart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Marsden</w:t>
      </w:r>
      <w:proofErr w:type="spellEnd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Hartley</w:t>
      </w:r>
      <w:proofErr w:type="spellEnd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Charles </w:t>
      </w:r>
      <w:proofErr w:type="spellStart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Burchfield</w:t>
      </w:r>
      <w:proofErr w:type="spellEnd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Georgia </w:t>
      </w:r>
      <w:proofErr w:type="spellStart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O’Keefe</w:t>
      </w:r>
      <w:proofErr w:type="spellEnd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Philip </w:t>
      </w:r>
      <w:proofErr w:type="spellStart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Guston</w:t>
      </w:r>
      <w:proofErr w:type="spellEnd"/>
      <w:r w:rsidR="00F32B1B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John Wesley.</w:t>
      </w:r>
    </w:p>
    <w:p w14:paraId="436A4DE8" w14:textId="77777777" w:rsidR="00F32B1B" w:rsidRPr="00494BBC" w:rsidRDefault="00F32B1B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3B9445" w14:textId="3C1167F5" w:rsidR="00F32B1B" w:rsidRPr="00494BBC" w:rsidRDefault="00F32B1B" w:rsidP="00F32B1B">
      <w:pPr>
        <w:pStyle w:val="Didefault"/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lavori dell’artista potrebbero essere </w:t>
      </w:r>
      <w:r w:rsidR="00A038E1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onirici</w:t>
      </w:r>
      <w:r w:rsidR="00494BBC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surreal</w:t>
      </w:r>
      <w:r w:rsidR="00494BBC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in parte un mix storico artistico. Utilizza le icone della natura e le storie della pittura del paesaggio, combinando l’architettura e la figurazione, dove un albero potrebbe essere una colonna, una barca a vela</w:t>
      </w:r>
      <w:r w:rsidR="00A038E1"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naso.</w:t>
      </w:r>
    </w:p>
    <w:p w14:paraId="5FDD5F5E" w14:textId="634B1E65" w:rsidR="00F32B1B" w:rsidRPr="00494BBC" w:rsidRDefault="00F32B1B" w:rsidP="00F32B1B">
      <w:pPr>
        <w:pStyle w:val="Didefault"/>
        <w:pBdr>
          <w:bottom w:val="single" w:sz="12" w:space="1" w:color="auto"/>
        </w:pBdr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4BBC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Visti insieme i dipinti si dispiegano come scenografie riprese da una vista elevata di un mondo segreto. Queste immagini suggeriscono una narrazione in evoluzione ma frammentaria, una storia senza un'ora distinta del giorno o della notte, un dominio immaginario manifestato dall'atto e dalla materialità della pittura. Le immagini si dispiegano come capitoli tratti da un diario di viaggio, eppure restano emblematiche, folcloristiche e rivelatrici.</w:t>
      </w:r>
    </w:p>
    <w:p w14:paraId="53D9FCE8" w14:textId="77777777" w:rsidR="00A038E1" w:rsidRPr="006A450B" w:rsidRDefault="00A038E1" w:rsidP="00F32B1B">
      <w:pPr>
        <w:pStyle w:val="Didefault"/>
        <w:pBdr>
          <w:bottom w:val="single" w:sz="12" w:space="1" w:color="auto"/>
        </w:pBdr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747467" w14:textId="77777777" w:rsidR="00F32B1B" w:rsidRPr="006A450B" w:rsidRDefault="00F32B1B" w:rsidP="00F32B1B">
      <w:pPr>
        <w:pStyle w:val="Didefault"/>
        <w:jc w:val="both"/>
        <w:rPr>
          <w:rFonts w:ascii="DIN Pro" w:eastAsia="DIN Pro" w:hAnsi="DIN Pro" w:cs="DIN Pr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A278E0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Brian Scott Campbell (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nato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nel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1983, Columbus, OH) ha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ricevuto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 BFA dal Columbus College of Art and Design, OH e </w:t>
      </w:r>
      <w:proofErr w:type="gram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un MFA</w:t>
      </w:r>
      <w:proofErr w:type="gram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dalla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Mason Gross School of the Arts, Rutgers University, NJ.</w:t>
      </w:r>
    </w:p>
    <w:p w14:paraId="6803DAC0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EBEC7C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Campbell ha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esposto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Stene Projects,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Stoccolma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Dutton, New York; Fredericks &amp;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Freiser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New York;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Asya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Geisberg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Gallery, New York; Galleria Jeff Bailey, New York;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Zevitas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Marcus, Los Angeles; Galleria David Shelton, Houston; Ruttkowski;68, Monaco di </w:t>
      </w:r>
      <w:proofErr w:type="spellStart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Baviera</w:t>
      </w:r>
      <w:proofErr w:type="spellEnd"/>
      <w:r w:rsidRPr="00A038E1"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; NADA New York e Untitled Miami Beach Art Fairs.</w:t>
      </w:r>
    </w:p>
    <w:p w14:paraId="53DC5119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201641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premi e le residenze includono l'Atlantic Center for the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Arts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Residency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l'artista Dana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Schutz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L'Istituto macedone; una borsa di studio completa del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McColl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Center for Visual Art; una borsa di studio del Vermont Studio Center, il programma Artist in the Marketplace, Bronx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Museum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New York. Il lavoro di Campbell è stato presentato in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Modern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Painters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Blouin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ArtInfo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L'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Huffington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Post; </w:t>
      </w:r>
      <w:proofErr w:type="spellStart"/>
      <w:proofErr w:type="gram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Hyperallergic;Glasstire</w:t>
      </w:r>
      <w:proofErr w:type="spellEnd"/>
      <w:proofErr w:type="gram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i-D Magazine / Vice; Art Viewer e altri.</w:t>
      </w:r>
    </w:p>
    <w:p w14:paraId="5802A436" w14:textId="77777777" w:rsidR="00F32B1B" w:rsidRPr="00A038E1" w:rsidRDefault="00F32B1B" w:rsidP="00F32B1B">
      <w:pPr>
        <w:pStyle w:val="Didefault"/>
        <w:jc w:val="both"/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629B55" w14:textId="77777777" w:rsidR="00F32B1B" w:rsidRPr="00A038E1" w:rsidRDefault="00F32B1B" w:rsidP="00F32B1B">
      <w:pPr>
        <w:pStyle w:val="Didefault"/>
        <w:jc w:val="both"/>
        <w:rPr>
          <w:sz w:val="18"/>
          <w:szCs w:val="18"/>
        </w:rPr>
      </w:pPr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Campbell vive e lavora a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Denton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 Texas, ed è professore assistente di disegno e pittura presso il College of Visual 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Arts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Design presso</w:t>
      </w:r>
      <w:proofErr w:type="spellStart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University</w:t>
      </w:r>
      <w:proofErr w:type="spellEnd"/>
      <w:r w:rsidRPr="00A038E1">
        <w:rPr>
          <w:rFonts w:eastAsia="DIN Pro" w:cs="DIN Pro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North Texas.</w:t>
      </w:r>
    </w:p>
    <w:p w14:paraId="66D163EB" w14:textId="77777777" w:rsidR="004A35BC" w:rsidRPr="009B117B" w:rsidRDefault="004A35BC">
      <w:pPr>
        <w:pBdr>
          <w:bottom w:val="single" w:sz="12" w:space="0" w:color="000000"/>
        </w:pBdr>
        <w:jc w:val="both"/>
        <w:rPr>
          <w:rFonts w:ascii="Helvetica Neue" w:eastAsia="Helvetica Neue" w:hAnsi="Helvetica Neue" w:cs="Helvetica Neue"/>
          <w:sz w:val="18"/>
          <w:szCs w:val="18"/>
          <w:lang w:val="it-IT"/>
        </w:rPr>
      </w:pPr>
    </w:p>
    <w:p w14:paraId="09F310D5" w14:textId="77777777" w:rsidR="004A35BC" w:rsidRPr="009B117B" w:rsidRDefault="004A35BC">
      <w:pPr>
        <w:rPr>
          <w:rFonts w:ascii="Helvetica Neue" w:eastAsia="Helvetica Neue" w:hAnsi="Helvetica Neue" w:cs="Helvetica Neue"/>
          <w:b/>
          <w:sz w:val="18"/>
          <w:szCs w:val="18"/>
          <w:lang w:val="it-IT"/>
        </w:rPr>
      </w:pPr>
    </w:p>
    <w:p w14:paraId="4CD9626B" w14:textId="77777777" w:rsidR="004A35BC" w:rsidRPr="00A80109" w:rsidRDefault="00CC5BD4">
      <w:pPr>
        <w:rPr>
          <w:rFonts w:ascii="Helvetica Neue" w:eastAsia="Helvetica Neue" w:hAnsi="Helvetica Neue" w:cs="Helvetica Neue"/>
          <w:bCs/>
          <w:sz w:val="18"/>
          <w:szCs w:val="18"/>
        </w:rPr>
      </w:pPr>
      <w:proofErr w:type="spellStart"/>
      <w:r w:rsidRPr="00A80109">
        <w:rPr>
          <w:rFonts w:ascii="Helvetica Neue" w:eastAsia="Helvetica Neue" w:hAnsi="Helvetica Neue" w:cs="Helvetica Neue"/>
          <w:bCs/>
          <w:sz w:val="18"/>
          <w:szCs w:val="18"/>
        </w:rPr>
        <w:t>Vademecum</w:t>
      </w:r>
      <w:proofErr w:type="spellEnd"/>
      <w:r w:rsidRPr="00A80109">
        <w:rPr>
          <w:rFonts w:ascii="Helvetica Neue" w:eastAsia="Helvetica Neue" w:hAnsi="Helvetica Neue" w:cs="Helvetica Neue"/>
          <w:bCs/>
          <w:sz w:val="18"/>
          <w:szCs w:val="18"/>
        </w:rPr>
        <w:t>:</w:t>
      </w:r>
    </w:p>
    <w:p w14:paraId="4AA16EB3" w14:textId="3C3A565A" w:rsidR="004A35BC" w:rsidRPr="006B1DDA" w:rsidRDefault="00CC5BD4">
      <w:pPr>
        <w:rPr>
          <w:rFonts w:ascii="Helvetica Neue" w:eastAsia="Helvetica Neue" w:hAnsi="Helvetica Neue" w:cs="Helvetica Neue"/>
          <w:bCs/>
          <w:sz w:val="18"/>
          <w:szCs w:val="18"/>
        </w:rPr>
      </w:pPr>
      <w:proofErr w:type="spellStart"/>
      <w:r w:rsidRPr="006B1DDA">
        <w:rPr>
          <w:rFonts w:ascii="Helvetica Neue" w:eastAsia="Helvetica Neue" w:hAnsi="Helvetica Neue" w:cs="Helvetica Neue"/>
          <w:bCs/>
          <w:sz w:val="18"/>
          <w:szCs w:val="18"/>
        </w:rPr>
        <w:t>Titolo</w:t>
      </w:r>
      <w:proofErr w:type="spellEnd"/>
      <w:r w:rsidRPr="006B1DDA">
        <w:rPr>
          <w:rFonts w:ascii="Helvetica Neue" w:eastAsia="Helvetica Neue" w:hAnsi="Helvetica Neue" w:cs="Helvetica Neue"/>
          <w:bCs/>
          <w:sz w:val="18"/>
          <w:szCs w:val="18"/>
        </w:rPr>
        <w:t xml:space="preserve">: </w:t>
      </w:r>
      <w:r w:rsidR="006B1DDA" w:rsidRPr="006B1DDA">
        <w:rPr>
          <w:rFonts w:ascii="Helvetica Neue" w:hAnsi="Helvetica Neue"/>
          <w:bCs/>
          <w:sz w:val="18"/>
          <w:szCs w:val="18"/>
        </w:rPr>
        <w:t>When the trees touch the clouds</w:t>
      </w:r>
    </w:p>
    <w:p w14:paraId="2E209BF9" w14:textId="617BF757" w:rsidR="004A35BC" w:rsidRPr="006B1DDA" w:rsidRDefault="00CC5BD4">
      <w:pPr>
        <w:shd w:val="clear" w:color="auto" w:fill="FFFFFF"/>
        <w:rPr>
          <w:rFonts w:ascii="Helvetica Neue" w:eastAsia="Helvetica Neue" w:hAnsi="Helvetica Neue" w:cs="Helvetica Neue"/>
          <w:bCs/>
          <w:sz w:val="18"/>
          <w:szCs w:val="18"/>
          <w:lang w:val="it-IT"/>
        </w:rPr>
      </w:pPr>
      <w:r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>Artista:</w:t>
      </w:r>
      <w:r w:rsidR="009B117B"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 xml:space="preserve"> </w:t>
      </w:r>
      <w:r w:rsidR="006B1DDA" w:rsidRPr="00A80109">
        <w:rPr>
          <w:rFonts w:ascii="Helvetica Neue" w:hAnsi="Helvetica Neue"/>
          <w:bCs/>
          <w:sz w:val="18"/>
          <w:szCs w:val="18"/>
          <w:lang w:val="it-IT"/>
        </w:rPr>
        <w:t>Brian Scott Campbell</w:t>
      </w:r>
    </w:p>
    <w:p w14:paraId="340C7C38" w14:textId="77777777" w:rsidR="004A35BC" w:rsidRPr="006B1DDA" w:rsidRDefault="00CC5BD4">
      <w:pPr>
        <w:rPr>
          <w:rFonts w:ascii="Helvetica Neue" w:eastAsia="Helvetica Neue" w:hAnsi="Helvetica Neue" w:cs="Helvetica Neue"/>
          <w:bCs/>
          <w:sz w:val="18"/>
          <w:szCs w:val="18"/>
          <w:lang w:val="it-IT"/>
        </w:rPr>
      </w:pPr>
      <w:r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>galleria Richter Fine Art, vicolo del Curato, 3 – Roma</w:t>
      </w:r>
    </w:p>
    <w:p w14:paraId="5E06453C" w14:textId="7F197CDD" w:rsidR="004A35BC" w:rsidRPr="006B1DDA" w:rsidRDefault="00CC5BD4">
      <w:pPr>
        <w:spacing w:line="276" w:lineRule="auto"/>
        <w:rPr>
          <w:rFonts w:ascii="Helvetica Neue" w:eastAsia="Helvetica Neue" w:hAnsi="Helvetica Neue" w:cs="Helvetica Neue"/>
          <w:bCs/>
          <w:sz w:val="18"/>
          <w:szCs w:val="18"/>
          <w:lang w:val="it-IT"/>
        </w:rPr>
      </w:pPr>
      <w:r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 xml:space="preserve">Durata mostra: </w:t>
      </w:r>
      <w:r w:rsidR="006B1DDA"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 xml:space="preserve">24 maggio – 29 </w:t>
      </w:r>
      <w:r w:rsidR="00A80109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>luglio</w:t>
      </w:r>
    </w:p>
    <w:p w14:paraId="319B0748" w14:textId="77777777" w:rsidR="004A35BC" w:rsidRPr="006B1DDA" w:rsidRDefault="00CC5BD4">
      <w:pPr>
        <w:rPr>
          <w:rFonts w:ascii="Helvetica Neue" w:eastAsia="Helvetica Neue" w:hAnsi="Helvetica Neue" w:cs="Helvetica Neue"/>
          <w:bCs/>
          <w:sz w:val="18"/>
          <w:szCs w:val="18"/>
          <w:lang w:val="it-IT"/>
        </w:rPr>
      </w:pPr>
      <w:r w:rsidRPr="006B1DDA">
        <w:rPr>
          <w:rFonts w:ascii="Helvetica Neue" w:eastAsia="Helvetica Neue" w:hAnsi="Helvetica Neue" w:cs="Helvetica Neue"/>
          <w:bCs/>
          <w:sz w:val="18"/>
          <w:szCs w:val="18"/>
          <w:lang w:val="it-IT"/>
        </w:rPr>
        <w:t>Orari: dal lunedì al venerdì dalle 15 alle 19, o su appuntamento.</w:t>
      </w:r>
    </w:p>
    <w:p w14:paraId="237331FF" w14:textId="77777777" w:rsidR="004A35BC" w:rsidRPr="006A450B" w:rsidRDefault="004A35BC">
      <w:pPr>
        <w:rPr>
          <w:rFonts w:ascii="Helvetica Neue" w:eastAsia="Helvetica Neue" w:hAnsi="Helvetica Neue" w:cs="Helvetica Neue"/>
          <w:sz w:val="18"/>
          <w:szCs w:val="18"/>
          <w:lang w:val="it-IT"/>
        </w:rPr>
      </w:pPr>
    </w:p>
    <w:p w14:paraId="1551B923" w14:textId="77777777" w:rsidR="004A35BC" w:rsidRPr="006A450B" w:rsidRDefault="00CC5BD4">
      <w:pPr>
        <w:rPr>
          <w:rFonts w:ascii="Helvetica Neue" w:eastAsia="Helvetica Neue" w:hAnsi="Helvetica Neue" w:cs="Helvetica Neue"/>
          <w:color w:val="00000A"/>
          <w:sz w:val="18"/>
          <w:szCs w:val="18"/>
          <w:lang w:val="it-IT"/>
        </w:rPr>
      </w:pPr>
      <w:r w:rsidRPr="006A450B">
        <w:rPr>
          <w:rFonts w:ascii="Helvetica Neue" w:eastAsia="Helvetica Neue" w:hAnsi="Helvetica Neue" w:cs="Helvetica Neue"/>
          <w:sz w:val="18"/>
          <w:szCs w:val="18"/>
          <w:lang w:val="it-IT"/>
        </w:rPr>
        <w:t xml:space="preserve">Sito internet: </w:t>
      </w:r>
      <w:hyperlink r:id="rId8">
        <w:r w:rsidRPr="006A450B">
          <w:rPr>
            <w:rFonts w:ascii="Helvetica Neue" w:eastAsia="Helvetica Neue" w:hAnsi="Helvetica Neue" w:cs="Helvetica Neue"/>
            <w:color w:val="00000A"/>
            <w:sz w:val="18"/>
            <w:szCs w:val="18"/>
            <w:lang w:val="it-IT"/>
          </w:rPr>
          <w:t>http://www.galleriarichter.com/</w:t>
        </w:r>
      </w:hyperlink>
    </w:p>
    <w:p w14:paraId="7B3841B6" w14:textId="77777777" w:rsidR="004A35BC" w:rsidRDefault="00CC5BD4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A"/>
          <w:sz w:val="18"/>
          <w:szCs w:val="18"/>
        </w:rPr>
        <w:t>Email:</w:t>
      </w:r>
      <w:r>
        <w:rPr>
          <w:rFonts w:ascii="Helvetica Neue" w:eastAsia="Helvetica Neue" w:hAnsi="Helvetica Neue" w:cs="Helvetica Neue"/>
          <w:color w:val="1D2129"/>
          <w:sz w:val="18"/>
          <w:szCs w:val="18"/>
        </w:rPr>
        <w:t xml:space="preserve"> info@galleriarichter.com</w:t>
      </w:r>
    </w:p>
    <w:p w14:paraId="383DE6B1" w14:textId="77777777" w:rsidR="004A35BC" w:rsidRDefault="00CC5BD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18"/>
          <w:szCs w:val="18"/>
        </w:rPr>
        <w:t>Fb account: Galleria Richter Fine Art</w:t>
      </w:r>
    </w:p>
    <w:p w14:paraId="39C7ECA4" w14:textId="77777777" w:rsidR="004A35BC" w:rsidRDefault="004A35BC">
      <w:pPr>
        <w:rPr>
          <w:rFonts w:ascii="Helvetica Neue" w:eastAsia="Helvetica Neue" w:hAnsi="Helvetica Neue" w:cs="Helvetica Neue"/>
        </w:rPr>
      </w:pPr>
    </w:p>
    <w:p w14:paraId="45CE2F56" w14:textId="77777777" w:rsidR="004A35BC" w:rsidRDefault="00CC5BD4">
      <w:pPr>
        <w:spacing w:line="276" w:lineRule="auto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 w:rsidRPr="006A450B">
        <w:rPr>
          <w:rFonts w:ascii="Helvetica Neue" w:eastAsia="Helvetica Neue" w:hAnsi="Helvetica Neue" w:cs="Helvetica Neue"/>
          <w:sz w:val="20"/>
          <w:szCs w:val="20"/>
          <w:lang w:val="it-IT"/>
        </w:rPr>
        <w:t xml:space="preserve">Ufficio Stampa: Chiara Ciucci Giuliani </w:t>
      </w:r>
      <w:proofErr w:type="spellStart"/>
      <w:r w:rsidRPr="006A450B">
        <w:rPr>
          <w:rFonts w:ascii="Helvetica Neue" w:eastAsia="Helvetica Neue" w:hAnsi="Helvetica Neue" w:cs="Helvetica Neue"/>
          <w:sz w:val="20"/>
          <w:szCs w:val="20"/>
          <w:lang w:val="it-IT"/>
        </w:rPr>
        <w:t>mob</w:t>
      </w:r>
      <w:proofErr w:type="spellEnd"/>
      <w:r w:rsidRPr="006A450B">
        <w:rPr>
          <w:rFonts w:ascii="Helvetica Neue" w:eastAsia="Helvetica Neue" w:hAnsi="Helvetica Neue" w:cs="Helvetica Neue"/>
          <w:sz w:val="20"/>
          <w:szCs w:val="20"/>
          <w:lang w:val="it-IT"/>
        </w:rPr>
        <w:t>. </w:t>
      </w:r>
      <w:r>
        <w:rPr>
          <w:rFonts w:ascii="Helvetica Neue" w:eastAsia="Helvetica Neue" w:hAnsi="Helvetica Neue" w:cs="Helvetica Neue"/>
          <w:sz w:val="20"/>
          <w:szCs w:val="20"/>
        </w:rPr>
        <w:t>+39 3929173661 | email: chiaracgiuliani@gmail.com</w:t>
      </w:r>
    </w:p>
    <w:p w14:paraId="11FAD554" w14:textId="77777777" w:rsidR="004A35BC" w:rsidRDefault="004A35BC">
      <w:pPr>
        <w:jc w:val="right"/>
        <w:rPr>
          <w:rFonts w:ascii="Helvetica Neue" w:eastAsia="Helvetica Neue" w:hAnsi="Helvetica Neue" w:cs="Helvetica Neue"/>
        </w:rPr>
      </w:pPr>
    </w:p>
    <w:p w14:paraId="5ED6BE3F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6F4D62B5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6D0A235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CEB86D3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42A00FA3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1184C8E5" w14:textId="77777777" w:rsidR="004A35BC" w:rsidRDefault="004A35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sectPr w:rsidR="004A35B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7E0" w14:textId="77777777" w:rsidR="001C629A" w:rsidRDefault="001C629A">
      <w:r>
        <w:separator/>
      </w:r>
    </w:p>
  </w:endnote>
  <w:endnote w:type="continuationSeparator" w:id="0">
    <w:p w14:paraId="2CAAFB29" w14:textId="77777777" w:rsidR="001C629A" w:rsidRDefault="001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47B3" w14:textId="77777777" w:rsidR="004A35BC" w:rsidRDefault="004A35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1BEC" w14:textId="77777777" w:rsidR="001C629A" w:rsidRDefault="001C629A">
      <w:r>
        <w:separator/>
      </w:r>
    </w:p>
  </w:footnote>
  <w:footnote w:type="continuationSeparator" w:id="0">
    <w:p w14:paraId="73336CC4" w14:textId="77777777" w:rsidR="001C629A" w:rsidRDefault="001C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6031" w14:textId="77777777" w:rsidR="004A35BC" w:rsidRDefault="004A35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BC"/>
    <w:rsid w:val="0016687D"/>
    <w:rsid w:val="001C629A"/>
    <w:rsid w:val="00494BBC"/>
    <w:rsid w:val="004A35BC"/>
    <w:rsid w:val="005022E0"/>
    <w:rsid w:val="00520B36"/>
    <w:rsid w:val="006A450B"/>
    <w:rsid w:val="006B1DDA"/>
    <w:rsid w:val="00886F05"/>
    <w:rsid w:val="009B117B"/>
    <w:rsid w:val="00A038E1"/>
    <w:rsid w:val="00A80109"/>
    <w:rsid w:val="00BC27EC"/>
    <w:rsid w:val="00CC5BD4"/>
    <w:rsid w:val="00F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5B60D"/>
  <w15:docId w15:val="{E497D392-9EF8-A34D-8CB7-0F48502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outline w:val="0"/>
      <w:color w:val="00000A"/>
      <w:sz w:val="18"/>
      <w:szCs w:val="18"/>
      <w:u w:color="00000A"/>
      <w:lang w:val="it-IT"/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F32B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aricht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2xC9XQcxgJYeapzSGC7bvjI+g==">AMUW2mXtj2tOYsVLsdLONie0u+VAici4RtyAjInYt5xforRQoWPJg/u/TL1mTZxjZIRBdaTgUfg8e3CH7VR5NdMNGNgDwJy25hpEmTe7O9CygOGnft5ngToZhSDtz+y8BwlTXj0glkqR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2022-04-11T19:45:00Z</dcterms:created>
  <dcterms:modified xsi:type="dcterms:W3CDTF">2022-04-29T07:00:00Z</dcterms:modified>
</cp:coreProperties>
</file>