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0FA52" w14:textId="0119BBA6" w:rsidR="00EB1219" w:rsidRDefault="00EB1219" w:rsidP="00EB1219">
      <w:pPr>
        <w:rPr>
          <w:b/>
        </w:rPr>
      </w:pPr>
      <w:r>
        <w:rPr>
          <w:noProof/>
        </w:rPr>
        <w:drawing>
          <wp:inline distT="0" distB="0" distL="0" distR="0" wp14:anchorId="53408DB8" wp14:editId="6E89B172">
            <wp:extent cx="3416300" cy="530225"/>
            <wp:effectExtent l="0" t="0" r="0" b="0"/>
            <wp:docPr id="13000361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530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17EE32" w14:textId="77777777" w:rsidR="00EB1219" w:rsidRDefault="00EB1219" w:rsidP="00EB1219">
      <w:pPr>
        <w:rPr>
          <w:b/>
        </w:rPr>
      </w:pPr>
    </w:p>
    <w:p w14:paraId="2F60E753" w14:textId="77777777" w:rsidR="001410F5" w:rsidRPr="001410F5" w:rsidRDefault="00EB1219" w:rsidP="00EB1219">
      <w:pPr>
        <w:jc w:val="center"/>
        <w:rPr>
          <w:b/>
          <w:sz w:val="28"/>
          <w:szCs w:val="28"/>
        </w:rPr>
      </w:pPr>
      <w:r w:rsidRPr="001410F5">
        <w:rPr>
          <w:b/>
          <w:sz w:val="28"/>
          <w:szCs w:val="28"/>
        </w:rPr>
        <w:t xml:space="preserve">Galleria Magenta </w:t>
      </w:r>
    </w:p>
    <w:p w14:paraId="470F154D" w14:textId="4A26CE1D" w:rsidR="00EB1219" w:rsidRPr="001410F5" w:rsidRDefault="00EB1219" w:rsidP="001410F5">
      <w:pPr>
        <w:jc w:val="center"/>
        <w:rPr>
          <w:bCs/>
        </w:rPr>
      </w:pPr>
      <w:r w:rsidRPr="001410F5">
        <w:rPr>
          <w:bCs/>
        </w:rPr>
        <w:t>presenta</w:t>
      </w:r>
    </w:p>
    <w:p w14:paraId="28B0F920" w14:textId="0C23715F" w:rsidR="00EB1219" w:rsidRPr="001410F5" w:rsidRDefault="00EB1219" w:rsidP="00EB1219">
      <w:pPr>
        <w:jc w:val="center"/>
        <w:rPr>
          <w:b/>
          <w:color w:val="C00000"/>
          <w:sz w:val="36"/>
          <w:szCs w:val="36"/>
        </w:rPr>
      </w:pPr>
      <w:r w:rsidRPr="001410F5">
        <w:rPr>
          <w:b/>
          <w:color w:val="C00000"/>
          <w:sz w:val="36"/>
          <w:szCs w:val="36"/>
        </w:rPr>
        <w:t>“IL SUSSURRO DEL MONDO”</w:t>
      </w:r>
    </w:p>
    <w:p w14:paraId="6DA65D3E" w14:textId="20C48554" w:rsidR="00EB1219" w:rsidRPr="001410F5" w:rsidRDefault="00EB1219" w:rsidP="00EB1219">
      <w:pPr>
        <w:jc w:val="center"/>
        <w:rPr>
          <w:bCs/>
        </w:rPr>
      </w:pPr>
      <w:r w:rsidRPr="001410F5">
        <w:rPr>
          <w:bCs/>
        </w:rPr>
        <w:t>Opere di</w:t>
      </w:r>
    </w:p>
    <w:p w14:paraId="38706877" w14:textId="419CDE0F" w:rsidR="00EB1219" w:rsidRPr="001410F5" w:rsidRDefault="00EB1219" w:rsidP="00EB1219">
      <w:pPr>
        <w:jc w:val="center"/>
        <w:rPr>
          <w:b/>
          <w:sz w:val="32"/>
          <w:szCs w:val="32"/>
        </w:rPr>
      </w:pPr>
      <w:r w:rsidRPr="001410F5">
        <w:rPr>
          <w:b/>
          <w:sz w:val="32"/>
          <w:szCs w:val="32"/>
        </w:rPr>
        <w:t>VALERIA PONTOGLIO</w:t>
      </w:r>
    </w:p>
    <w:p w14:paraId="21D63D04" w14:textId="77777777" w:rsidR="00EB1219" w:rsidRDefault="00EB1219" w:rsidP="00EB1219">
      <w:pPr>
        <w:jc w:val="center"/>
        <w:rPr>
          <w:b/>
          <w:u w:val="single"/>
        </w:rPr>
      </w:pPr>
    </w:p>
    <w:p w14:paraId="4B64628A" w14:textId="082EB3BC" w:rsidR="00EB1219" w:rsidRPr="001410F5" w:rsidRDefault="00EB1219" w:rsidP="00EB1219">
      <w:pPr>
        <w:jc w:val="center"/>
        <w:rPr>
          <w:b/>
          <w:sz w:val="24"/>
          <w:szCs w:val="24"/>
          <w:u w:val="single"/>
        </w:rPr>
      </w:pPr>
      <w:r w:rsidRPr="001410F5">
        <w:rPr>
          <w:b/>
          <w:sz w:val="24"/>
          <w:szCs w:val="24"/>
          <w:u w:val="single"/>
          <w:shd w:val="clear" w:color="auto" w:fill="FFCCCC"/>
        </w:rPr>
        <w:t xml:space="preserve">Vernissage con cocktail </w:t>
      </w:r>
      <w:r w:rsidR="004F4CA5" w:rsidRPr="001410F5">
        <w:rPr>
          <w:b/>
          <w:sz w:val="24"/>
          <w:szCs w:val="24"/>
          <w:u w:val="single"/>
          <w:shd w:val="clear" w:color="auto" w:fill="FFCCCC"/>
        </w:rPr>
        <w:t>S</w:t>
      </w:r>
      <w:r w:rsidRPr="001410F5">
        <w:rPr>
          <w:b/>
          <w:sz w:val="24"/>
          <w:szCs w:val="24"/>
          <w:u w:val="single"/>
          <w:shd w:val="clear" w:color="auto" w:fill="FFCCCC"/>
        </w:rPr>
        <w:t>abato 17 Ottobre alle ore 17</w:t>
      </w:r>
    </w:p>
    <w:p w14:paraId="652522A5" w14:textId="77777777" w:rsidR="00EB1219" w:rsidRPr="00EB1219" w:rsidRDefault="00EB1219" w:rsidP="00EB1219">
      <w:pPr>
        <w:jc w:val="center"/>
        <w:rPr>
          <w:b/>
        </w:rPr>
      </w:pPr>
      <w:r w:rsidRPr="00EB1219">
        <w:rPr>
          <w:b/>
        </w:rPr>
        <w:t>Via Roma 45, Magenta (MI)</w:t>
      </w:r>
    </w:p>
    <w:p w14:paraId="5CAEFDF7" w14:textId="77777777" w:rsidR="00EB1219" w:rsidRDefault="00EB1219" w:rsidP="00EB1219">
      <w:pPr>
        <w:rPr>
          <w:b/>
        </w:rPr>
      </w:pPr>
    </w:p>
    <w:p w14:paraId="284E7B67" w14:textId="5C72A9B9" w:rsidR="00EB1219" w:rsidRDefault="005F53DD" w:rsidP="00EB1219">
      <w:pPr>
        <w:rPr>
          <w:bCs/>
        </w:rPr>
      </w:pPr>
      <w:r w:rsidRPr="005F53DD">
        <w:rPr>
          <w:bCs/>
        </w:rPr>
        <w:t xml:space="preserve">Il primo appuntamento d’arte </w:t>
      </w:r>
      <w:r>
        <w:rPr>
          <w:bCs/>
        </w:rPr>
        <w:t xml:space="preserve">dell’autunno in </w:t>
      </w:r>
      <w:r w:rsidRPr="001410F5">
        <w:rPr>
          <w:b/>
        </w:rPr>
        <w:t>Galleria Magenta</w:t>
      </w:r>
      <w:r>
        <w:rPr>
          <w:bCs/>
        </w:rPr>
        <w:t xml:space="preserve"> si contrassegna di rosa</w:t>
      </w:r>
      <w:r w:rsidR="006E2AA0">
        <w:rPr>
          <w:bCs/>
        </w:rPr>
        <w:t>. È infatti</w:t>
      </w:r>
      <w:r>
        <w:rPr>
          <w:bCs/>
        </w:rPr>
        <w:t xml:space="preserve"> una donna l’artista protagonista della </w:t>
      </w:r>
      <w:r w:rsidR="006E2AA0">
        <w:rPr>
          <w:bCs/>
        </w:rPr>
        <w:t xml:space="preserve">nuova </w:t>
      </w:r>
      <w:r w:rsidRPr="001410F5">
        <w:rPr>
          <w:b/>
        </w:rPr>
        <w:t>mostra personale</w:t>
      </w:r>
      <w:r w:rsidR="004E3A83">
        <w:rPr>
          <w:bCs/>
        </w:rPr>
        <w:t xml:space="preserve"> che, </w:t>
      </w:r>
      <w:r w:rsidR="004E3A83" w:rsidRPr="001410F5">
        <w:rPr>
          <w:b/>
        </w:rPr>
        <w:t>dal 17 ottobre al 21 novembre</w:t>
      </w:r>
      <w:r w:rsidR="004E3A83">
        <w:rPr>
          <w:bCs/>
        </w:rPr>
        <w:t xml:space="preserve"> </w:t>
      </w:r>
      <w:r w:rsidR="001B18C0">
        <w:rPr>
          <w:bCs/>
        </w:rPr>
        <w:t>prossimi</w:t>
      </w:r>
      <w:r w:rsidR="004E3A83">
        <w:rPr>
          <w:bCs/>
        </w:rPr>
        <w:t xml:space="preserve">, vestirà le pareti della sede storica della galleria, in </w:t>
      </w:r>
      <w:r w:rsidR="004E3A83" w:rsidRPr="001410F5">
        <w:rPr>
          <w:b/>
        </w:rPr>
        <w:t>via Roma 45</w:t>
      </w:r>
      <w:r w:rsidR="004E3A83">
        <w:rPr>
          <w:bCs/>
        </w:rPr>
        <w:t xml:space="preserve"> a </w:t>
      </w:r>
      <w:r w:rsidR="004E3A83" w:rsidRPr="001410F5">
        <w:rPr>
          <w:b/>
        </w:rPr>
        <w:t>Magenta (MI)</w:t>
      </w:r>
      <w:r w:rsidR="004E3A83">
        <w:rPr>
          <w:bCs/>
        </w:rPr>
        <w:t xml:space="preserve">. </w:t>
      </w:r>
      <w:r w:rsidR="009A5C17">
        <w:rPr>
          <w:bCs/>
        </w:rPr>
        <w:t xml:space="preserve"> </w:t>
      </w:r>
    </w:p>
    <w:p w14:paraId="1B3022C4" w14:textId="02A86907" w:rsidR="004E3A83" w:rsidRDefault="006E2AA0" w:rsidP="004E3A83">
      <w:pPr>
        <w:rPr>
          <w:bCs/>
        </w:rPr>
      </w:pPr>
      <w:r>
        <w:rPr>
          <w:bCs/>
        </w:rPr>
        <w:t xml:space="preserve">Si tratta di </w:t>
      </w:r>
      <w:r w:rsidRPr="001410F5">
        <w:rPr>
          <w:b/>
        </w:rPr>
        <w:t>Valeria Pontoglio</w:t>
      </w:r>
      <w:r>
        <w:rPr>
          <w:bCs/>
        </w:rPr>
        <w:t>, autrice delle opere che compo</w:t>
      </w:r>
      <w:r w:rsidR="009A5C17">
        <w:rPr>
          <w:bCs/>
        </w:rPr>
        <w:t>ngono</w:t>
      </w:r>
      <w:r>
        <w:rPr>
          <w:bCs/>
        </w:rPr>
        <w:t xml:space="preserve"> </w:t>
      </w:r>
      <w:r w:rsidRPr="001410F5">
        <w:rPr>
          <w:b/>
        </w:rPr>
        <w:t>IL SUSSURRO DEL MONDO</w:t>
      </w:r>
      <w:r>
        <w:rPr>
          <w:bCs/>
        </w:rPr>
        <w:t>, un</w:t>
      </w:r>
      <w:r w:rsidR="004E3A83">
        <w:rPr>
          <w:bCs/>
        </w:rPr>
        <w:t xml:space="preserve">a </w:t>
      </w:r>
      <w:r>
        <w:rPr>
          <w:bCs/>
        </w:rPr>
        <w:t>esposizione grintosa</w:t>
      </w:r>
      <w:r w:rsidR="009A5C17">
        <w:rPr>
          <w:bCs/>
        </w:rPr>
        <w:t xml:space="preserve"> che ben riflette la sua tempra bergamasca</w:t>
      </w:r>
      <w:r w:rsidR="004E3A83">
        <w:rPr>
          <w:bCs/>
        </w:rPr>
        <w:t>.</w:t>
      </w:r>
    </w:p>
    <w:p w14:paraId="0A3E0802" w14:textId="3DFEC9AC" w:rsidR="002E150F" w:rsidRDefault="004E3A83" w:rsidP="004E3A83">
      <w:pPr>
        <w:rPr>
          <w:bCs/>
        </w:rPr>
      </w:pPr>
      <w:r w:rsidRPr="001410F5">
        <w:rPr>
          <w:bCs/>
        </w:rPr>
        <w:t>Il “</w:t>
      </w:r>
      <w:proofErr w:type="spellStart"/>
      <w:r w:rsidRPr="001410F5">
        <w:rPr>
          <w:bCs/>
        </w:rPr>
        <w:t>cloisonnisme</w:t>
      </w:r>
      <w:proofErr w:type="spellEnd"/>
      <w:r w:rsidRPr="001410F5">
        <w:rPr>
          <w:bCs/>
        </w:rPr>
        <w:t>”,</w:t>
      </w:r>
      <w:r>
        <w:rPr>
          <w:bCs/>
        </w:rPr>
        <w:t xml:space="preserve"> ovvero quel linguaggio formale fondato sulle campiture </w:t>
      </w:r>
      <w:r w:rsidR="002E150F">
        <w:rPr>
          <w:bCs/>
        </w:rPr>
        <w:t>piane</w:t>
      </w:r>
      <w:r>
        <w:rPr>
          <w:bCs/>
        </w:rPr>
        <w:t xml:space="preserve"> di colore omogeneo delimitate da contorni neri marcati, costituisce la cifra stilistica della mostra, rivelando l’affinità dell’artista con il disegno d’arte vetraria gotica</w:t>
      </w:r>
      <w:r w:rsidR="002E150F">
        <w:rPr>
          <w:bCs/>
        </w:rPr>
        <w:t xml:space="preserve">, </w:t>
      </w:r>
      <w:r w:rsidR="00795057">
        <w:rPr>
          <w:bCs/>
        </w:rPr>
        <w:t xml:space="preserve">ma anche </w:t>
      </w:r>
      <w:r w:rsidR="002E150F">
        <w:rPr>
          <w:bCs/>
        </w:rPr>
        <w:t>con la tradizione delle stampe giapponesi,</w:t>
      </w:r>
      <w:r w:rsidR="001B18C0">
        <w:rPr>
          <w:bCs/>
        </w:rPr>
        <w:t xml:space="preserve"> con</w:t>
      </w:r>
      <w:r w:rsidR="002E150F">
        <w:rPr>
          <w:bCs/>
        </w:rPr>
        <w:t xml:space="preserve"> il linguaggio fumettistico e </w:t>
      </w:r>
      <w:r w:rsidR="001B18C0">
        <w:rPr>
          <w:bCs/>
        </w:rPr>
        <w:t xml:space="preserve">con </w:t>
      </w:r>
      <w:r w:rsidR="002E150F">
        <w:rPr>
          <w:bCs/>
        </w:rPr>
        <w:t>l’opera di De Chirico e Valerio Adami.</w:t>
      </w:r>
    </w:p>
    <w:p w14:paraId="61088DDE" w14:textId="6BF86E76" w:rsidR="002E150F" w:rsidRPr="002E150F" w:rsidRDefault="002E150F" w:rsidP="004F4CA5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E150F">
        <w:rPr>
          <w:rFonts w:eastAsia="Times New Roman" w:cstheme="minorHAnsi"/>
          <w:kern w:val="0"/>
          <w:lang w:eastAsia="it-IT"/>
          <w14:ligatures w14:val="none"/>
        </w:rPr>
        <w:t>La palette cromatica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 xml:space="preserve">si 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snoda attraverso riempimenti 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>dens</w:t>
      </w:r>
      <w:r>
        <w:rPr>
          <w:rFonts w:eastAsia="Times New Roman" w:cstheme="minorHAnsi"/>
          <w:kern w:val="0"/>
          <w:lang w:eastAsia="it-IT"/>
          <w14:ligatures w14:val="none"/>
        </w:rPr>
        <w:t>i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 xml:space="preserve"> e satu</w:t>
      </w:r>
      <w:r w:rsidR="001B18C0">
        <w:rPr>
          <w:rFonts w:eastAsia="Times New Roman" w:cstheme="minorHAnsi"/>
          <w:kern w:val="0"/>
          <w:lang w:eastAsia="it-IT"/>
          <w14:ligatures w14:val="none"/>
        </w:rPr>
        <w:t>ri</w:t>
      </w:r>
      <w:r>
        <w:rPr>
          <w:rFonts w:eastAsia="Times New Roman" w:cstheme="minorHAnsi"/>
          <w:kern w:val="0"/>
          <w:lang w:eastAsia="it-IT"/>
          <w14:ligatures w14:val="none"/>
        </w:rPr>
        <w:t>, basandosi sui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 xml:space="preserve"> toni freddi </w:t>
      </w:r>
      <w:r>
        <w:rPr>
          <w:rFonts w:eastAsia="Times New Roman" w:cstheme="minorHAnsi"/>
          <w:kern w:val="0"/>
          <w:lang w:eastAsia="it-IT"/>
          <w14:ligatures w14:val="none"/>
        </w:rPr>
        <w:t>ma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 xml:space="preserve"> profondi del blu 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che 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>incontra l'energia de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gli altri colori primari, il giallo e il rosso, per sottrarre al 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>colore la sua funzione mimetica</w:t>
      </w:r>
      <w:r w:rsidR="001B18C0">
        <w:rPr>
          <w:rFonts w:eastAsia="Times New Roman" w:cstheme="minorHAnsi"/>
          <w:kern w:val="0"/>
          <w:lang w:eastAsia="it-IT"/>
          <w14:ligatures w14:val="none"/>
        </w:rPr>
        <w:t>,</w:t>
      </w:r>
      <w:r w:rsidR="00A05542">
        <w:rPr>
          <w:rFonts w:eastAsia="Times New Roman" w:cstheme="minorHAnsi"/>
          <w:kern w:val="0"/>
          <w:lang w:eastAsia="it-IT"/>
          <w14:ligatures w14:val="none"/>
        </w:rPr>
        <w:t xml:space="preserve"> con </w:t>
      </w:r>
      <w:r w:rsidR="002F66EA">
        <w:rPr>
          <w:rFonts w:eastAsia="Times New Roman" w:cstheme="minorHAnsi"/>
          <w:kern w:val="0"/>
          <w:lang w:eastAsia="it-IT"/>
          <w14:ligatures w14:val="none"/>
        </w:rPr>
        <w:t xml:space="preserve">la finalità </w:t>
      </w:r>
      <w:r w:rsidR="00A05542">
        <w:rPr>
          <w:rFonts w:eastAsia="Times New Roman" w:cstheme="minorHAnsi"/>
          <w:kern w:val="0"/>
          <w:lang w:eastAsia="it-IT"/>
          <w14:ligatures w14:val="none"/>
        </w:rPr>
        <w:t xml:space="preserve">di renderlo 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 xml:space="preserve">uno strumento di </w:t>
      </w:r>
      <w:r w:rsidR="00A05542">
        <w:rPr>
          <w:rFonts w:eastAsia="Times New Roman" w:cstheme="minorHAnsi"/>
          <w:kern w:val="0"/>
          <w:lang w:eastAsia="it-IT"/>
          <w14:ligatures w14:val="none"/>
        </w:rPr>
        <w:t xml:space="preserve">delineazione 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 xml:space="preserve">spaziale e </w:t>
      </w:r>
      <w:r w:rsidR="001B18C0">
        <w:rPr>
          <w:rFonts w:eastAsia="Times New Roman" w:cstheme="minorHAnsi"/>
          <w:kern w:val="0"/>
          <w:lang w:eastAsia="it-IT"/>
          <w14:ligatures w14:val="none"/>
        </w:rPr>
        <w:t xml:space="preserve">di </w:t>
      </w:r>
      <w:r w:rsidRPr="002E150F">
        <w:rPr>
          <w:rFonts w:eastAsia="Times New Roman" w:cstheme="minorHAnsi"/>
          <w:kern w:val="0"/>
          <w:lang w:eastAsia="it-IT"/>
          <w14:ligatures w14:val="none"/>
        </w:rPr>
        <w:t>architettura emozionale.</w:t>
      </w:r>
    </w:p>
    <w:p w14:paraId="101FC5A6" w14:textId="77777777" w:rsidR="002F66EA" w:rsidRDefault="002F66EA" w:rsidP="004F4CA5">
      <w:pPr>
        <w:spacing w:after="0"/>
        <w:rPr>
          <w:bCs/>
        </w:rPr>
      </w:pPr>
    </w:p>
    <w:p w14:paraId="6D6C6F8C" w14:textId="54715C7B" w:rsidR="004F4CA5" w:rsidRDefault="002F66EA" w:rsidP="0060155B">
      <w:pPr>
        <w:spacing w:after="0"/>
        <w:rPr>
          <w:bCs/>
        </w:rPr>
      </w:pPr>
      <w:r>
        <w:rPr>
          <w:bCs/>
        </w:rPr>
        <w:t xml:space="preserve">Il bisbiglio della realtà, come verità che erompe silenziosa dalle cose, è </w:t>
      </w:r>
      <w:r w:rsidR="004F4CA5">
        <w:rPr>
          <w:bCs/>
        </w:rPr>
        <w:t>proposto mediante</w:t>
      </w:r>
      <w:r>
        <w:rPr>
          <w:bCs/>
        </w:rPr>
        <w:t xml:space="preserve"> figure dall’anatomia decostruita</w:t>
      </w:r>
      <w:r w:rsidR="004F4CA5">
        <w:rPr>
          <w:bCs/>
        </w:rPr>
        <w:t xml:space="preserve"> e</w:t>
      </w:r>
      <w:r>
        <w:rPr>
          <w:bCs/>
        </w:rPr>
        <w:t xml:space="preserve"> dai tratti geometrici segmentati,</w:t>
      </w:r>
      <w:r w:rsidR="004F4CA5">
        <w:rPr>
          <w:bCs/>
        </w:rPr>
        <w:t xml:space="preserve"> oltrepassando l’interesse dei </w:t>
      </w:r>
      <w:r w:rsidR="001B18C0">
        <w:rPr>
          <w:bCs/>
        </w:rPr>
        <w:t xml:space="preserve">dettagli </w:t>
      </w:r>
      <w:r w:rsidR="004F4CA5">
        <w:rPr>
          <w:bCs/>
        </w:rPr>
        <w:t>somatici</w:t>
      </w:r>
      <w:r>
        <w:rPr>
          <w:bCs/>
        </w:rPr>
        <w:t xml:space="preserve"> </w:t>
      </w:r>
      <w:r w:rsidR="004F4CA5">
        <w:rPr>
          <w:bCs/>
        </w:rPr>
        <w:t>per trasformare i soggetti dipinti in simboli universali.</w:t>
      </w:r>
    </w:p>
    <w:p w14:paraId="7C6BB009" w14:textId="2D3F38A2" w:rsidR="002F66EA" w:rsidRPr="005F53DD" w:rsidRDefault="004F4CA5" w:rsidP="0060155B">
      <w:pPr>
        <w:spacing w:after="0"/>
        <w:rPr>
          <w:bCs/>
        </w:rPr>
      </w:pPr>
      <w:r>
        <w:rPr>
          <w:bCs/>
        </w:rPr>
        <w:t xml:space="preserve"> </w:t>
      </w:r>
    </w:p>
    <w:p w14:paraId="19F879F4" w14:textId="42ACC661" w:rsidR="00EB1219" w:rsidRPr="0060155B" w:rsidRDefault="004F4CA5" w:rsidP="0060155B">
      <w:pPr>
        <w:spacing w:after="0"/>
        <w:rPr>
          <w:rFonts w:cstheme="minorHAnsi"/>
        </w:rPr>
      </w:pPr>
      <w:r w:rsidRPr="0060155B">
        <w:rPr>
          <w:rFonts w:eastAsia="Times New Roman" w:cstheme="minorHAnsi"/>
          <w:kern w:val="0"/>
          <w:lang w:eastAsia="it-IT"/>
          <w14:ligatures w14:val="none"/>
        </w:rPr>
        <w:t>Le forme delle cose rimangono dunque negli ambienti come un esoscheletro o una traccia lasciata dal passaggio del tempo, mentre le loro caratteristiche peculiari si depersonalizzano gradualmente. Tutto ciò porta a una riflessione sulla memoria, sul ricordo che permane quando l'esperienza vissuta si è ormai conclusa e a volte può sfociare in nostalgia</w:t>
      </w:r>
      <w:r w:rsidR="0060155B" w:rsidRPr="0060155B">
        <w:rPr>
          <w:rFonts w:eastAsia="Times New Roman" w:cstheme="minorHAnsi"/>
          <w:kern w:val="0"/>
          <w:lang w:eastAsia="it-IT"/>
          <w14:ligatures w14:val="none"/>
        </w:rPr>
        <w:t xml:space="preserve"> o </w:t>
      </w:r>
      <w:r w:rsidR="005112F7">
        <w:rPr>
          <w:rFonts w:eastAsia="Times New Roman" w:cstheme="minorHAnsi"/>
          <w:kern w:val="0"/>
          <w:lang w:eastAsia="it-IT"/>
          <w14:ligatures w14:val="none"/>
        </w:rPr>
        <w:t xml:space="preserve">in </w:t>
      </w:r>
      <w:r w:rsidR="0060155B" w:rsidRPr="0060155B">
        <w:rPr>
          <w:rFonts w:eastAsia="Times New Roman" w:cstheme="minorHAnsi"/>
          <w:kern w:val="0"/>
          <w:lang w:eastAsia="it-IT"/>
          <w14:ligatures w14:val="none"/>
        </w:rPr>
        <w:t>sogno, fino a</w:t>
      </w:r>
      <w:r w:rsidR="005112F7">
        <w:rPr>
          <w:rFonts w:eastAsia="Times New Roman" w:cstheme="minorHAnsi"/>
          <w:kern w:val="0"/>
          <w:lang w:eastAsia="it-IT"/>
          <w14:ligatures w14:val="none"/>
        </w:rPr>
        <w:t xml:space="preserve"> originare</w:t>
      </w:r>
      <w:r w:rsidR="0060155B" w:rsidRPr="0060155B">
        <w:rPr>
          <w:rFonts w:eastAsia="Times New Roman" w:cstheme="minorHAnsi"/>
          <w:kern w:val="0"/>
          <w:lang w:eastAsia="it-IT"/>
          <w14:ligatures w14:val="none"/>
        </w:rPr>
        <w:t xml:space="preserve"> una dimensione contemplativa, che invita l’osservatore a condividere il medesimo sguardo verso l’oltre.</w:t>
      </w:r>
    </w:p>
    <w:p w14:paraId="6B2726CA" w14:textId="77777777" w:rsidR="00EB1219" w:rsidRPr="0060155B" w:rsidRDefault="00EB1219" w:rsidP="0060155B">
      <w:pPr>
        <w:spacing w:after="0"/>
        <w:rPr>
          <w:rFonts w:cstheme="minorHAnsi"/>
        </w:rPr>
      </w:pPr>
    </w:p>
    <w:p w14:paraId="6CA0E576" w14:textId="260C88BD" w:rsidR="0060155B" w:rsidRPr="0060155B" w:rsidRDefault="0060155B" w:rsidP="0060155B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60155B">
        <w:rPr>
          <w:rFonts w:cstheme="minorHAnsi"/>
        </w:rPr>
        <w:t>Il paesaggio</w:t>
      </w:r>
      <w:r w:rsidR="005112F7">
        <w:rPr>
          <w:rFonts w:cstheme="minorHAnsi"/>
        </w:rPr>
        <w:t>,</w:t>
      </w:r>
      <w:r w:rsidRPr="0060155B">
        <w:rPr>
          <w:rFonts w:cstheme="minorHAnsi"/>
        </w:rPr>
        <w:t xml:space="preserve"> </w:t>
      </w:r>
      <w:r w:rsidRPr="0060155B">
        <w:rPr>
          <w:rFonts w:eastAsia="Times New Roman" w:cstheme="minorHAnsi"/>
          <w:kern w:val="0"/>
          <w:lang w:eastAsia="it-IT"/>
          <w14:ligatures w14:val="none"/>
        </w:rPr>
        <w:t>costellato di fari marini, quinte architettoniche, montagne stilizzate e velieri</w:t>
      </w:r>
      <w:r w:rsidR="005112F7">
        <w:rPr>
          <w:rFonts w:eastAsia="Times New Roman" w:cstheme="minorHAnsi"/>
          <w:kern w:val="0"/>
          <w:lang w:eastAsia="it-IT"/>
          <w14:ligatures w14:val="none"/>
        </w:rPr>
        <w:t>,</w:t>
      </w:r>
      <w:r w:rsidRPr="0060155B">
        <w:rPr>
          <w:rFonts w:eastAsia="Times New Roman" w:cstheme="minorHAnsi"/>
          <w:kern w:val="0"/>
          <w:lang w:eastAsia="it-IT"/>
          <w14:ligatures w14:val="none"/>
        </w:rPr>
        <w:t xml:space="preserve"> dialoga con l'eredità della Metafisica </w:t>
      </w:r>
      <w:proofErr w:type="spellStart"/>
      <w:r w:rsidRPr="0060155B">
        <w:rPr>
          <w:rFonts w:eastAsia="Times New Roman" w:cstheme="minorHAnsi"/>
          <w:kern w:val="0"/>
          <w:lang w:eastAsia="it-IT"/>
          <w14:ligatures w14:val="none"/>
        </w:rPr>
        <w:t>dechirichiana</w:t>
      </w:r>
      <w:proofErr w:type="spellEnd"/>
      <w:r w:rsidRPr="0060155B">
        <w:rPr>
          <w:rFonts w:eastAsia="Times New Roman" w:cstheme="minorHAnsi"/>
          <w:kern w:val="0"/>
          <w:lang w:eastAsia="it-IT"/>
          <w14:ligatures w14:val="none"/>
        </w:rPr>
        <w:t>. Gli ambienti sono infatti immobili, sospesi in un tempo indeterminato dove la luce non proietta mai ombre caotiche, ma campiture geometriche pulite.</w:t>
      </w:r>
    </w:p>
    <w:p w14:paraId="021A3EBA" w14:textId="77777777" w:rsidR="0060155B" w:rsidRPr="0060155B" w:rsidRDefault="0060155B" w:rsidP="0060155B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60155B">
        <w:rPr>
          <w:rFonts w:eastAsia="Times New Roman" w:cstheme="minorHAnsi"/>
          <w:kern w:val="0"/>
          <w:lang w:eastAsia="it-IT"/>
          <w14:ligatures w14:val="none"/>
        </w:rPr>
        <w:lastRenderedPageBreak/>
        <w:t>​</w:t>
      </w:r>
    </w:p>
    <w:p w14:paraId="738FDF18" w14:textId="43E507AA" w:rsidR="0060155B" w:rsidRPr="0060155B" w:rsidRDefault="0060155B" w:rsidP="0060155B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60155B">
        <w:rPr>
          <w:rFonts w:eastAsia="Times New Roman" w:cstheme="minorHAnsi"/>
          <w:kern w:val="0"/>
          <w:lang w:eastAsia="it-IT"/>
          <w14:ligatures w14:val="none"/>
        </w:rPr>
        <w:t xml:space="preserve">Le prospettive forzate sottolineano come gli elementi che configurano gli spazi, quali finestre, balaustre, fari e quinte teatrali, marchino il confine fra l'interno (la mente, la casa, la memoria) e l'esterno (il mare, l'orizzonte, l'ignoto). </w:t>
      </w:r>
    </w:p>
    <w:p w14:paraId="445733AA" w14:textId="77777777" w:rsidR="0060155B" w:rsidRDefault="0060155B" w:rsidP="0060155B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2B6080C1" w14:textId="470A586F" w:rsidR="005112F7" w:rsidRPr="0060155B" w:rsidRDefault="005112F7" w:rsidP="0060155B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>
        <w:rPr>
          <w:rFonts w:eastAsia="Times New Roman" w:cstheme="minorHAnsi"/>
          <w:kern w:val="0"/>
          <w:lang w:eastAsia="it-IT"/>
          <w14:ligatures w14:val="none"/>
        </w:rPr>
        <w:t>Tutta la ricerca pittorica dell’artista si concentra in una trentina di opere che, una dopo l’altra, in un alternarsi di temi e sbalzi di colore, assorbe l’occhio di chi indaga alla ricerca di un reale dentro il reale, svelato da lievi sussurri</w:t>
      </w:r>
      <w:r w:rsidR="00795057">
        <w:rPr>
          <w:rFonts w:eastAsia="Times New Roman" w:cstheme="minorHAnsi"/>
          <w:kern w:val="0"/>
          <w:lang w:eastAsia="it-IT"/>
          <w14:ligatures w14:val="none"/>
        </w:rPr>
        <w:t xml:space="preserve"> e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dagli </w:t>
      </w:r>
      <w:r w:rsidR="00FD728A" w:rsidRPr="00225D8B">
        <w:rPr>
          <w:rFonts w:eastAsia="Times New Roman" w:cstheme="minorHAnsi"/>
          <w:i/>
          <w:iCs/>
          <w:kern w:val="0"/>
          <w:lang w:eastAsia="it-IT"/>
          <w14:ligatures w14:val="none"/>
        </w:rPr>
        <w:t>“occhi dell’anima”</w:t>
      </w:r>
      <w:r w:rsidR="00FD728A">
        <w:rPr>
          <w:rFonts w:eastAsia="Times New Roman" w:cstheme="minorHAnsi"/>
          <w:kern w:val="0"/>
          <w:lang w:eastAsia="it-IT"/>
          <w14:ligatures w14:val="none"/>
        </w:rPr>
        <w:t xml:space="preserve"> (Eraldo Di Vita).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</w:p>
    <w:p w14:paraId="3F9F6452" w14:textId="77777777" w:rsidR="0060155B" w:rsidRPr="0060155B" w:rsidRDefault="0060155B" w:rsidP="0060155B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76023824" w14:textId="4DC77AC5" w:rsidR="00EB1219" w:rsidRPr="001410F5" w:rsidRDefault="00EB1219" w:rsidP="00EB1219">
      <w:pPr>
        <w:rPr>
          <w:b/>
          <w:bCs/>
        </w:rPr>
      </w:pPr>
      <w:r w:rsidRPr="00EB1219">
        <w:t>La mostra</w:t>
      </w:r>
      <w:r w:rsidR="00FD728A">
        <w:t xml:space="preserve">, inaugurata con </w:t>
      </w:r>
      <w:r w:rsidR="00FD728A" w:rsidRPr="001410F5">
        <w:rPr>
          <w:b/>
          <w:bCs/>
        </w:rPr>
        <w:t>vernice sabato 17 ottobre alle ore 17</w:t>
      </w:r>
      <w:r w:rsidR="00FD728A">
        <w:t>,</w:t>
      </w:r>
      <w:r w:rsidRPr="00EB1219">
        <w:t xml:space="preserve"> resterà aperta al pubblico fino al prossimo 2</w:t>
      </w:r>
      <w:r>
        <w:t>1 novembre</w:t>
      </w:r>
      <w:r w:rsidRPr="00EB1219">
        <w:t xml:space="preserve">, con i seguenti orari: </w:t>
      </w:r>
      <w:r w:rsidRPr="001410F5">
        <w:rPr>
          <w:b/>
          <w:bCs/>
        </w:rPr>
        <w:t>da martedì a sabato 9.30-12.30 / 15.30-18.30</w:t>
      </w:r>
    </w:p>
    <w:p w14:paraId="4E30B915" w14:textId="77777777" w:rsidR="00EB1219" w:rsidRPr="00EB1219" w:rsidRDefault="00EB1219" w:rsidP="00EB1219"/>
    <w:p w14:paraId="3E394C25" w14:textId="77777777" w:rsidR="00EB1219" w:rsidRPr="00EB1219" w:rsidRDefault="00EB1219" w:rsidP="00EB1219">
      <w:r w:rsidRPr="00EB1219">
        <w:t>Per materiali stampa aggiuntivi e informazioni contattare:</w:t>
      </w:r>
    </w:p>
    <w:p w14:paraId="372B0866" w14:textId="77777777" w:rsidR="00EB1219" w:rsidRPr="00EB1219" w:rsidRDefault="00EB1219" w:rsidP="00EB1219">
      <w:r w:rsidRPr="00EB1219">
        <w:rPr>
          <w:b/>
        </w:rPr>
        <w:t xml:space="preserve">Galleria Magenta </w:t>
      </w:r>
    </w:p>
    <w:p w14:paraId="08EE0C8C" w14:textId="77777777" w:rsidR="00EB1219" w:rsidRPr="00EB1219" w:rsidRDefault="00EB1219" w:rsidP="00EB1219">
      <w:r w:rsidRPr="00EB1219">
        <w:rPr>
          <w:b/>
        </w:rPr>
        <w:t xml:space="preserve">Tel. 02/9791451 </w:t>
      </w:r>
      <w:proofErr w:type="spellStart"/>
      <w:r w:rsidRPr="00EB1219">
        <w:rPr>
          <w:b/>
        </w:rPr>
        <w:t>r.a.</w:t>
      </w:r>
      <w:proofErr w:type="spellEnd"/>
    </w:p>
    <w:p w14:paraId="2F640205" w14:textId="77777777" w:rsidR="00EB1219" w:rsidRPr="00EB1219" w:rsidRDefault="00EB1219" w:rsidP="00EB1219">
      <w:r w:rsidRPr="00EB1219">
        <w:rPr>
          <w:b/>
        </w:rPr>
        <w:t>info@galleriamagenta.it</w:t>
      </w:r>
    </w:p>
    <w:p w14:paraId="2AAE4545" w14:textId="77777777" w:rsidR="00EB1219" w:rsidRPr="00EB1219" w:rsidRDefault="00EB1219" w:rsidP="00EB1219">
      <w:r w:rsidRPr="00EB1219">
        <w:t xml:space="preserve">Per aggiornamenti consultare i canali social istituzionali e il sito ufficiale </w:t>
      </w:r>
      <w:r w:rsidRPr="00EB1219">
        <w:rPr>
          <w:b/>
        </w:rPr>
        <w:t>www.galleriamegnta.it</w:t>
      </w:r>
    </w:p>
    <w:p w14:paraId="7AA43E88" w14:textId="77777777" w:rsidR="00EB1219" w:rsidRPr="00EB1219" w:rsidRDefault="00EB1219" w:rsidP="00EB1219"/>
    <w:p w14:paraId="09FFD8C7" w14:textId="77777777" w:rsidR="00EB1219" w:rsidRPr="00EB1219" w:rsidRDefault="00EB1219" w:rsidP="00EB1219"/>
    <w:p w14:paraId="1C3D03F5" w14:textId="77777777" w:rsidR="000E4797" w:rsidRDefault="000E4797"/>
    <w:sectPr w:rsidR="000E47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C"/>
    <w:rsid w:val="000E4797"/>
    <w:rsid w:val="001410F5"/>
    <w:rsid w:val="001B18C0"/>
    <w:rsid w:val="00225D8B"/>
    <w:rsid w:val="002E150F"/>
    <w:rsid w:val="002F66EA"/>
    <w:rsid w:val="00366683"/>
    <w:rsid w:val="004E3A83"/>
    <w:rsid w:val="004F4CA5"/>
    <w:rsid w:val="00505D68"/>
    <w:rsid w:val="005112F7"/>
    <w:rsid w:val="005541A5"/>
    <w:rsid w:val="005F53DD"/>
    <w:rsid w:val="0060155B"/>
    <w:rsid w:val="00680BBA"/>
    <w:rsid w:val="006E2AA0"/>
    <w:rsid w:val="00795057"/>
    <w:rsid w:val="009A5C17"/>
    <w:rsid w:val="009F1E26"/>
    <w:rsid w:val="00A05542"/>
    <w:rsid w:val="00BF1830"/>
    <w:rsid w:val="00CC4ACC"/>
    <w:rsid w:val="00EB1219"/>
    <w:rsid w:val="00FD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D4532"/>
  <w15:chartTrackingRefBased/>
  <w15:docId w15:val="{A5C2A4A8-BA27-4ACC-B9AD-8071C976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4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4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4A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4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4A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4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4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4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4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4A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4A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4A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4AC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4AC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4A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4A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4A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4A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4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4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4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4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4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4A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4A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4AC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4A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4AC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4A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Cattaneo</dc:creator>
  <cp:keywords/>
  <dc:description/>
  <cp:lastModifiedBy>Nicoletta Cattaneo</cp:lastModifiedBy>
  <cp:revision>10</cp:revision>
  <dcterms:created xsi:type="dcterms:W3CDTF">2026-09-16T13:57:00Z</dcterms:created>
  <dcterms:modified xsi:type="dcterms:W3CDTF">2026-09-18T07:40:00Z</dcterms:modified>
</cp:coreProperties>
</file>