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1381125" cy="1381125"/>
            <wp:effectExtent b="0" l="0" r="0" t="0"/>
            <wp:docPr descr="image1.jpg" id="3" name="image1.jpg"/>
            <a:graphic>
              <a:graphicData uri="http://schemas.openxmlformats.org/drawingml/2006/picture">
                <pic:pic>
                  <pic:nvPicPr>
                    <pic:cNvPr descr="image1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Talking to Strangers at Night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Vera Portatadino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Opening martedì </w:t>
      </w:r>
      <w:r w:rsidDel="00000000" w:rsidR="00000000" w:rsidRPr="00000000">
        <w:rPr>
          <w:rFonts w:ascii="Arial" w:cs="Arial" w:eastAsia="Arial" w:hAnsi="Arial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rtl w:val="0"/>
        </w:rPr>
        <w:t xml:space="preserve">aggio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dalle ore 18:30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Dal 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/2026 – al </w:t>
      </w:r>
      <w:r w:rsidDel="00000000" w:rsidR="00000000" w:rsidRPr="00000000">
        <w:rPr>
          <w:rFonts w:ascii="Arial" w:cs="Arial" w:eastAsia="Arial" w:hAnsi="Arial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Galleria Richter Fine Art</w:t>
      </w:r>
      <w:r w:rsidDel="00000000" w:rsidR="00000000" w:rsidRPr="00000000">
        <w:rPr>
          <w:rFonts w:ascii="Arial" w:cs="Arial" w:eastAsia="Arial" w:hAnsi="Arial"/>
          <w:rtl w:val="0"/>
        </w:rPr>
        <w:t xml:space="preserve"> prosegue la stagione espositiva con la personale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Vera Portatadino </w:t>
      </w:r>
      <w:r w:rsidDel="00000000" w:rsidR="00000000" w:rsidRPr="00000000">
        <w:rPr>
          <w:rFonts w:ascii="Arial" w:cs="Arial" w:eastAsia="Arial" w:hAnsi="Arial"/>
          <w:rtl w:val="0"/>
        </w:rPr>
        <w:t xml:space="preserve">(Varese, 1984)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La mostra, intitolata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Talking to Strangers at Night</w:t>
      </w:r>
      <w:r w:rsidDel="00000000" w:rsidR="00000000" w:rsidRPr="00000000">
        <w:rPr>
          <w:rFonts w:ascii="Arial" w:cs="Arial" w:eastAsia="Arial" w:hAnsi="Arial"/>
          <w:rtl w:val="0"/>
        </w:rPr>
        <w:t xml:space="preserve"> inaugura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martedì 26 maggio dalle 18.30</w:t>
      </w:r>
      <w:r w:rsidDel="00000000" w:rsidR="00000000" w:rsidRPr="00000000">
        <w:rPr>
          <w:rFonts w:ascii="Arial" w:cs="Arial" w:eastAsia="Arial" w:hAnsi="Arial"/>
          <w:rtl w:val="0"/>
        </w:rPr>
        <w:t xml:space="preserve">, rimanendo in programmazione fino all’11 settembre 2026.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Nella ricerca dell’artista assume un ruolo fondamentale la riflessione originata dalla lettura di testi filosofici e poetici. Tra le sue influenze, spicca il pensiero della filosofa spagnola Maria Zambrano (1904–1991), per la quale la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ragione poetica</w:t>
      </w:r>
      <w:r w:rsidDel="00000000" w:rsidR="00000000" w:rsidRPr="00000000">
        <w:rPr>
          <w:rFonts w:ascii="Arial" w:cs="Arial" w:eastAsia="Arial" w:hAnsi="Arial"/>
          <w:rtl w:val="0"/>
        </w:rPr>
        <w:t xml:space="preserve"> è uno sguardo che incontra l’altro senza possederlo, lasciandolo apparire nella sua verità.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highlight w:val="whit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Il chiaro del bosco è un centro nel quale non sempre è possibile entrare; lo si osserva dal limite e la comparsa di alcune impronte di animali non aiuta a compiere tale passo. È un altro regno che un’anima abita e custodisce. Qualche uccello richiama l’attenzione, invitando ad avanzare fin dove indica la sua voce. E le si dà ascolto. Poi non si incontra nulla, nulla che non sia un luogo intatto che sembra essersi aperto solo in quell’istante e che mai più si darà così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highlight w:val="white"/>
          <w:rtl w:val="0"/>
        </w:rPr>
        <w:t xml:space="preserve">».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(Maria Zambrano,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Chiari del bosco</w:t>
      </w:r>
      <w:r w:rsidDel="00000000" w:rsidR="00000000" w:rsidRPr="00000000">
        <w:rPr>
          <w:rFonts w:ascii="Arial" w:cs="Arial" w:eastAsia="Arial" w:hAnsi="Arial"/>
          <w:rtl w:val="0"/>
        </w:rPr>
        <w:t xml:space="preserve">, 1977.)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Talking to Strangers at Night </w:t>
      </w:r>
      <w:r w:rsidDel="00000000" w:rsidR="00000000" w:rsidRPr="00000000">
        <w:rPr>
          <w:rFonts w:ascii="Arial" w:cs="Arial" w:eastAsia="Arial" w:hAnsi="Arial"/>
          <w:rtl w:val="0"/>
        </w:rPr>
        <w:t xml:space="preserve">si configura come una riflessione sull’alterità, intesa come ciò che, anche nella massima vicinanza, resta inappropriabile. L’incontro con l’immagine, come con l’altro, apre uno spazio di attenzione, di conoscenza e di trasformazione. È il tempo della sera, nell'incedere dell’estate: l’aria è tiepida, i gelsomini fioriscono, il cielo è aperto.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dipinti esposti sono stati realizzati negli ultimi due anni e nascono da una costellazione di esperienze condivise — incontri, letture, momenti di intimità — che la pittura non restituisce come memoria o racconto, ma come campo di intensità. 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pittura di Vera Portatadino si sviluppa attraverso una pratica fondata sull’esperienza della lentezza, dell’attenzione e dell’emersione, dando forma a immagini che sfuggono a narrazioni univoche. I suoi lavori costruiscono ambienti in cui corpi, paesaggi e gesti si manifestano come presenze transitorie e interconnesse, mentre la superficie pittorica si articola come un palinsesto di stratificazioni e velature in cui ciò che appare si rivela e si sottrae continuamente. La visione è parziale e diffusa, spesso mediata dalla distanza, dall’opacità o dalla sospensione; le composizioni, sospese e instabili, mettono in dialogo luce e oscurità. 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324</wp:posOffset>
                </wp:positionH>
                <wp:positionV relativeFrom="paragraph">
                  <wp:posOffset>9208</wp:posOffset>
                </wp:positionV>
                <wp:extent cx="22225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8000" y="378000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324</wp:posOffset>
                </wp:positionH>
                <wp:positionV relativeFrom="paragraph">
                  <wp:posOffset>9208</wp:posOffset>
                </wp:positionV>
                <wp:extent cx="22225" cy="22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3077</wp:posOffset>
                </wp:positionH>
                <wp:positionV relativeFrom="paragraph">
                  <wp:posOffset>3743</wp:posOffset>
                </wp:positionV>
                <wp:extent cx="22225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3077</wp:posOffset>
                </wp:positionH>
                <wp:positionV relativeFrom="paragraph">
                  <wp:posOffset>3743</wp:posOffset>
                </wp:positionV>
                <wp:extent cx="22225" cy="22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Vera Portatadino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(Varese, 1984 vive e lavora a Milano) ha studiato a Londra presso il Chelsea College of Art &amp; Design e alla NABA – Nuova Accademia di Belle Arti di Milano.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iznd7c8qi6oi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Tra le mostre personali: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Something Filled Up My Heart with Nothing,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Otto Gallery, Bologna, 2022;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Anima Alzati Apriti,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Premio Treviglio, Bergamo, 2019;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SPAZI, MARS,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Fabbrica del Vapore, Milano, 2015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Tra le recenti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mostre collettive: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The Future Will Be Weird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cura di Denis Isaia, Galleria Giovanni Bonelli, Milano, 2026;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The Mountain Touch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MUSE Museum Trento in collaborazione con il Museo della Montagna di Torino, a cura di Andrea Lerda, 2024;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Pittura Italiana oggi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cura di Damiano Gullí, La Triennale, Milano, 2023;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Medea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cura di Demetrio Paperoni, antico mercato di Siracusa, 2023;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Se il paesaggio è simbolico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cura di Linda Carrara, Boccanera Gallery, Milano, 2023;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PUPILLE, Ci fioriscono gli occhi se ci guardiamo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cura di Rita Selvaggio, Casa Masaccio, San Giovanni Valdarno, Arezzo, 2022;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Botticelli. Il suo tempo e il nostro tempo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cura di Denis Isaia, MART Museo di arte Moderna e contemporanea di Trento, 2021.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Premi: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partecipante al Premio Cairo, 2024; Premio Santa Croce, 2021; Premio Lissone, 2018; Premio Suzzara, 2016. Vincitrice del Premio Treviglio, 2018; finalista del Premio Combat, 2010; finalista Premio San Fedele, 2010.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Opere in collezioni pubbliche: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MART, Museo di arte moderna e contemporanea di Trento e Rovereto; collezione “Ernesto and Teresa Della Torre”, Treviglio; collezione “Gabinetto dei disegni e delle stampe” Santa Croce sull’Arno, Pisa; collezione “Museo Maga” di Gallarate.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31r981hdk1j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Vademecum: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Titolo: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Talking to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trangers at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Artista: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Vera Portatadino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Galleria Richter Fine Art, vicolo del Curato, 3 - 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Durata mostra: dal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/2026 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Orari: dal lunedì al sabato dalle 15 alle 19, o su appuntamento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INFO E CONTATTI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Sito internet: </w:t>
      </w:r>
      <w:hyperlink r:id="rId8">
        <w:r w:rsidDel="00000000" w:rsidR="00000000" w:rsidRPr="00000000">
          <w:rPr>
            <w:rFonts w:ascii="Arial" w:cs="Arial" w:eastAsia="Arial" w:hAnsi="Arial"/>
            <w:color w:val="00000a"/>
            <w:sz w:val="20"/>
            <w:szCs w:val="20"/>
            <w:u w:val="single"/>
            <w:rtl w:val="0"/>
          </w:rPr>
          <w:t xml:space="preserve">http://www.galleriarichter.com/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E-mail: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info@galleriarichter.com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Ufficio Stampa: Chiara Ciucci Giuliani mob. +39 3929173661 | email: chiaracgiuliani@gmail.com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Fb account: Galleria Richter Fine 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Ig account: @richtergalleria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galleriarichter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hyperlink" Target="http://www.galleriarich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