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5E255F" w14:textId="77777777" w:rsidR="0065749C" w:rsidRPr="000B573F" w:rsidRDefault="0065749C" w:rsidP="0065749C">
      <w:pPr>
        <w:spacing w:after="180"/>
        <w:rPr>
          <w:rFonts w:asciiTheme="majorHAnsi" w:eastAsiaTheme="minorHAnsi" w:hAnsiTheme="majorHAnsi" w:cs="Times New Roman"/>
        </w:rPr>
      </w:pPr>
    </w:p>
    <w:p w14:paraId="20CC9DAE" w14:textId="77777777" w:rsidR="0065749C" w:rsidRPr="000B573F" w:rsidRDefault="0089724D" w:rsidP="0065749C">
      <w:pPr>
        <w:spacing w:after="180"/>
        <w:rPr>
          <w:rFonts w:asciiTheme="majorHAnsi" w:eastAsiaTheme="minorHAnsi" w:hAnsiTheme="majorHAnsi" w:cs="Times New Roman"/>
          <w:i/>
        </w:rPr>
      </w:pPr>
      <w:bookmarkStart w:id="0" w:name="_GoBack"/>
      <w:r w:rsidRPr="000B573F">
        <w:rPr>
          <w:rFonts w:asciiTheme="majorHAnsi" w:eastAsiaTheme="minorHAnsi" w:hAnsiTheme="majorHAnsi" w:cs="Times New Roman"/>
          <w:i/>
        </w:rPr>
        <w:t xml:space="preserve">Comunicato stampa </w:t>
      </w:r>
      <w:proofErr w:type="gramStart"/>
      <w:r w:rsidRPr="000B573F">
        <w:rPr>
          <w:rFonts w:asciiTheme="majorHAnsi" w:eastAsiaTheme="minorHAnsi" w:hAnsiTheme="majorHAnsi" w:cs="Times New Roman"/>
          <w:i/>
        </w:rPr>
        <w:t>2</w:t>
      </w:r>
      <w:proofErr w:type="gramEnd"/>
    </w:p>
    <w:p w14:paraId="64C9F2E7" w14:textId="2C248E8B" w:rsidR="0065749C" w:rsidRPr="000B573F" w:rsidRDefault="0065749C" w:rsidP="0065749C">
      <w:pPr>
        <w:spacing w:after="180"/>
        <w:rPr>
          <w:rFonts w:asciiTheme="majorHAnsi" w:eastAsiaTheme="minorHAnsi" w:hAnsiTheme="majorHAnsi" w:cs="Times New Roman"/>
          <w:sz w:val="28"/>
          <w:szCs w:val="28"/>
        </w:rPr>
      </w:pPr>
      <w:r w:rsidRPr="000B573F">
        <w:rPr>
          <w:rFonts w:asciiTheme="majorHAnsi" w:eastAsiaTheme="minorHAnsi" w:hAnsiTheme="majorHAnsi" w:cs="Times New Roman"/>
          <w:b/>
          <w:bCs/>
          <w:sz w:val="28"/>
          <w:szCs w:val="28"/>
        </w:rPr>
        <w:t xml:space="preserve">IL PATRIMONIO CULTURALE NELLE CRISI CONTEMPORANEE: </w:t>
      </w:r>
      <w:r w:rsidR="000B573F">
        <w:rPr>
          <w:rFonts w:asciiTheme="majorHAnsi" w:eastAsiaTheme="minorHAnsi" w:hAnsiTheme="majorHAnsi" w:cs="Times New Roman"/>
          <w:b/>
          <w:bCs/>
          <w:sz w:val="28"/>
          <w:szCs w:val="28"/>
        </w:rPr>
        <w:br/>
      </w:r>
      <w:proofErr w:type="gramStart"/>
      <w:r w:rsidRPr="000B573F">
        <w:rPr>
          <w:rFonts w:asciiTheme="majorHAnsi" w:eastAsiaTheme="minorHAnsi" w:hAnsiTheme="majorHAnsi" w:cs="Times New Roman"/>
          <w:b/>
          <w:bCs/>
          <w:sz w:val="28"/>
          <w:szCs w:val="28"/>
        </w:rPr>
        <w:t>A TRIESTE IL CONVEGNO MAB FVG SU RISCHI, PROTEZIONE E RESILIENZA</w:t>
      </w:r>
      <w:proofErr w:type="gramEnd"/>
    </w:p>
    <w:p w14:paraId="327867D4" w14:textId="77777777" w:rsidR="0065749C" w:rsidRPr="000B573F" w:rsidRDefault="0065749C" w:rsidP="0065749C">
      <w:pPr>
        <w:spacing w:after="180"/>
        <w:rPr>
          <w:rFonts w:asciiTheme="majorHAnsi" w:eastAsiaTheme="minorHAnsi" w:hAnsiTheme="majorHAnsi" w:cs="Times New Roman"/>
        </w:rPr>
      </w:pPr>
      <w:proofErr w:type="gramStart"/>
      <w:r w:rsidRPr="000B573F">
        <w:rPr>
          <w:rFonts w:asciiTheme="majorHAnsi" w:eastAsiaTheme="minorHAnsi" w:hAnsiTheme="majorHAnsi" w:cs="Times New Roman"/>
          <w:b/>
          <w:bCs/>
        </w:rPr>
        <w:t>Il 22 e 23 ottobre esperti</w:t>
      </w:r>
      <w:proofErr w:type="gramEnd"/>
      <w:r w:rsidRPr="000B573F">
        <w:rPr>
          <w:rFonts w:asciiTheme="majorHAnsi" w:eastAsiaTheme="minorHAnsi" w:hAnsiTheme="majorHAnsi" w:cs="Times New Roman"/>
          <w:b/>
          <w:bCs/>
        </w:rPr>
        <w:t xml:space="preserve"> e istituzioni a confronto sui nuovi strumenti di tutela del patrimonio culturale, tra conflitti armati, emergenze climatiche, sicurezza digitale e nuove tecnologie</w:t>
      </w:r>
    </w:p>
    <w:p w14:paraId="5033F6AC" w14:textId="71F4369B" w:rsidR="0065749C" w:rsidRPr="000B573F" w:rsidRDefault="0065749C" w:rsidP="0065749C">
      <w:pPr>
        <w:spacing w:after="180"/>
        <w:rPr>
          <w:rFonts w:asciiTheme="majorHAnsi" w:eastAsiaTheme="minorHAnsi" w:hAnsiTheme="majorHAnsi" w:cs="Times New Roman"/>
        </w:rPr>
      </w:pPr>
      <w:r w:rsidRPr="000B573F">
        <w:rPr>
          <w:rFonts w:asciiTheme="majorHAnsi" w:eastAsiaTheme="minorHAnsi" w:hAnsiTheme="majorHAnsi" w:cs="Times New Roman"/>
        </w:rPr>
        <w:t>Guerre, emergenze climatiche, vulnerabilità digitali e nuove forme di minaccia stanno modificando profondamente lo scenario nel quale opera chi ha il compito di proteggere il patrimonio culturale. Non più soltanto danni collaterali provocati dai conflitti o rischi legati al deterioramento e alle calamità naturali: oggi musei, archivi, biblioteche e collezioni sono chiamati a confrontarsi con minacce interconnesse, che richiedono nuove strategie di prevenzione, sicurezza e resilienza.</w:t>
      </w:r>
      <w:r w:rsidR="0089724D" w:rsidRPr="000B573F">
        <w:rPr>
          <w:rFonts w:asciiTheme="majorHAnsi" w:eastAsiaTheme="minorHAnsi" w:hAnsiTheme="majorHAnsi" w:cs="Times New Roman"/>
        </w:rPr>
        <w:br/>
      </w:r>
      <w:r w:rsidRPr="000B573F">
        <w:rPr>
          <w:rFonts w:asciiTheme="majorHAnsi" w:eastAsiaTheme="minorHAnsi" w:hAnsiTheme="majorHAnsi" w:cs="Times New Roman"/>
        </w:rPr>
        <w:t xml:space="preserve">È questo il tema al centro del convegno </w:t>
      </w:r>
      <w:r w:rsidRPr="000B573F">
        <w:rPr>
          <w:rFonts w:asciiTheme="majorHAnsi" w:eastAsiaTheme="minorHAnsi" w:hAnsiTheme="majorHAnsi" w:cs="Times New Roman"/>
          <w:b/>
          <w:bCs/>
        </w:rPr>
        <w:t>“Il patrimonio culturale nelle crisi contemporanee: rischi, protezione e resilienza”</w:t>
      </w:r>
      <w:r w:rsidRPr="000B573F">
        <w:rPr>
          <w:rFonts w:asciiTheme="majorHAnsi" w:eastAsiaTheme="minorHAnsi" w:hAnsiTheme="majorHAnsi" w:cs="Times New Roman"/>
        </w:rPr>
        <w:t xml:space="preserve">, in programma a Trieste </w:t>
      </w:r>
      <w:r w:rsidRPr="000B573F">
        <w:rPr>
          <w:rFonts w:asciiTheme="majorHAnsi" w:eastAsiaTheme="minorHAnsi" w:hAnsiTheme="majorHAnsi" w:cs="Times New Roman"/>
          <w:b/>
          <w:bCs/>
        </w:rPr>
        <w:t xml:space="preserve">giovedì </w:t>
      </w:r>
      <w:proofErr w:type="gramStart"/>
      <w:r w:rsidRPr="000B573F">
        <w:rPr>
          <w:rFonts w:asciiTheme="majorHAnsi" w:eastAsiaTheme="minorHAnsi" w:hAnsiTheme="majorHAnsi" w:cs="Times New Roman"/>
          <w:b/>
          <w:bCs/>
        </w:rPr>
        <w:t>22</w:t>
      </w:r>
      <w:proofErr w:type="gramEnd"/>
      <w:r w:rsidRPr="000B573F">
        <w:rPr>
          <w:rFonts w:asciiTheme="majorHAnsi" w:eastAsiaTheme="minorHAnsi" w:hAnsiTheme="majorHAnsi" w:cs="Times New Roman"/>
          <w:b/>
          <w:bCs/>
        </w:rPr>
        <w:t xml:space="preserve"> e venerdì 23 ottobre 2026</w:t>
      </w:r>
      <w:r w:rsidRPr="000B573F">
        <w:rPr>
          <w:rFonts w:asciiTheme="majorHAnsi" w:eastAsiaTheme="minorHAnsi" w:hAnsiTheme="majorHAnsi" w:cs="Times New Roman"/>
        </w:rPr>
        <w:t>, organizzato dall’</w:t>
      </w:r>
      <w:r w:rsidRPr="000B573F">
        <w:rPr>
          <w:rFonts w:asciiTheme="majorHAnsi" w:eastAsiaTheme="minorHAnsi" w:hAnsiTheme="majorHAnsi" w:cs="Times New Roman"/>
          <w:b/>
          <w:bCs/>
        </w:rPr>
        <w:t>Università degli Studi di Trieste – Sistema Museale di Ateneo (</w:t>
      </w:r>
      <w:proofErr w:type="spellStart"/>
      <w:r w:rsidRPr="000B573F">
        <w:rPr>
          <w:rFonts w:asciiTheme="majorHAnsi" w:eastAsiaTheme="minorHAnsi" w:hAnsiTheme="majorHAnsi" w:cs="Times New Roman"/>
          <w:b/>
          <w:bCs/>
        </w:rPr>
        <w:t>smaTs</w:t>
      </w:r>
      <w:proofErr w:type="spellEnd"/>
      <w:r w:rsidRPr="000B573F">
        <w:rPr>
          <w:rFonts w:asciiTheme="majorHAnsi" w:eastAsiaTheme="minorHAnsi" w:hAnsiTheme="majorHAnsi" w:cs="Times New Roman"/>
          <w:b/>
          <w:bCs/>
        </w:rPr>
        <w:t>)</w:t>
      </w:r>
      <w:r w:rsidRPr="000B573F">
        <w:rPr>
          <w:rFonts w:asciiTheme="majorHAnsi" w:eastAsiaTheme="minorHAnsi" w:hAnsiTheme="majorHAnsi" w:cs="Times New Roman"/>
        </w:rPr>
        <w:t xml:space="preserve"> e da </w:t>
      </w:r>
      <w:r w:rsidRPr="000B573F">
        <w:rPr>
          <w:rFonts w:asciiTheme="majorHAnsi" w:eastAsiaTheme="minorHAnsi" w:hAnsiTheme="majorHAnsi" w:cs="Times New Roman"/>
          <w:b/>
          <w:bCs/>
        </w:rPr>
        <w:t>MAB FVG</w:t>
      </w:r>
      <w:r w:rsidRPr="000B573F">
        <w:rPr>
          <w:rFonts w:asciiTheme="majorHAnsi" w:eastAsiaTheme="minorHAnsi" w:hAnsiTheme="majorHAnsi" w:cs="Times New Roman"/>
        </w:rPr>
        <w:t>, il coordinamento regionale delle associazioni dei professionisti della cultura che riunisce AIB, ANAI e ICOM-Italia.</w:t>
      </w:r>
      <w:r w:rsidR="0089724D" w:rsidRPr="000B573F">
        <w:rPr>
          <w:rFonts w:asciiTheme="majorHAnsi" w:eastAsiaTheme="minorHAnsi" w:hAnsiTheme="majorHAnsi" w:cs="Times New Roman"/>
        </w:rPr>
        <w:br/>
      </w:r>
      <w:proofErr w:type="gramStart"/>
      <w:r w:rsidRPr="000B573F">
        <w:rPr>
          <w:rFonts w:asciiTheme="majorHAnsi" w:eastAsiaTheme="minorHAnsi" w:hAnsiTheme="majorHAnsi" w:cs="Times New Roman"/>
        </w:rPr>
        <w:t>Due giornate per mettere a confronto competenze giuridiche, scientifiche e operative e interrogarsi sull’efficacia degli strumenti oggi disp</w:t>
      </w:r>
      <w:proofErr w:type="gramEnd"/>
      <w:r w:rsidRPr="000B573F">
        <w:rPr>
          <w:rFonts w:asciiTheme="majorHAnsi" w:eastAsiaTheme="minorHAnsi" w:hAnsiTheme="majorHAnsi" w:cs="Times New Roman"/>
        </w:rPr>
        <w:t>onibili per la tutela del patrimonio, alla luce della trasformazione dei rischi e delle crisi contemporanee. Un confronto che vedrà la partecipazione di studiosi, professionisti, istituzioni e rappresentanti di organismi internazionali, con interventi anche da Londra, Varsavia e Ucraina.</w:t>
      </w:r>
    </w:p>
    <w:p w14:paraId="748B0956" w14:textId="77777777" w:rsidR="0065749C" w:rsidRPr="000B573F" w:rsidRDefault="0065749C" w:rsidP="0065749C">
      <w:pPr>
        <w:spacing w:after="180"/>
        <w:rPr>
          <w:rFonts w:asciiTheme="majorHAnsi" w:eastAsiaTheme="minorHAnsi" w:hAnsiTheme="majorHAnsi" w:cs="Times New Roman"/>
        </w:rPr>
      </w:pPr>
      <w:r w:rsidRPr="000B573F">
        <w:rPr>
          <w:rFonts w:asciiTheme="majorHAnsi" w:eastAsiaTheme="minorHAnsi" w:hAnsiTheme="majorHAnsi" w:cs="Times New Roman"/>
        </w:rPr>
        <w:t xml:space="preserve">Il convegno si aprirà </w:t>
      </w:r>
      <w:r w:rsidRPr="000B573F">
        <w:rPr>
          <w:rFonts w:asciiTheme="majorHAnsi" w:eastAsiaTheme="minorHAnsi" w:hAnsiTheme="majorHAnsi" w:cs="Times New Roman"/>
          <w:b/>
          <w:bCs/>
        </w:rPr>
        <w:t xml:space="preserve">giovedì 22 ottobre alle </w:t>
      </w:r>
      <w:proofErr w:type="gramStart"/>
      <w:r w:rsidRPr="000B573F">
        <w:rPr>
          <w:rFonts w:asciiTheme="majorHAnsi" w:eastAsiaTheme="minorHAnsi" w:hAnsiTheme="majorHAnsi" w:cs="Times New Roman"/>
          <w:b/>
          <w:bCs/>
        </w:rPr>
        <w:t>1</w:t>
      </w:r>
      <w:r w:rsidR="0089724D" w:rsidRPr="000B573F">
        <w:rPr>
          <w:rFonts w:asciiTheme="majorHAnsi" w:eastAsiaTheme="minorHAnsi" w:hAnsiTheme="majorHAnsi" w:cs="Times New Roman"/>
          <w:b/>
          <w:bCs/>
        </w:rPr>
        <w:t>5</w:t>
      </w:r>
      <w:proofErr w:type="gramEnd"/>
      <w:r w:rsidR="0089724D" w:rsidRPr="000B573F">
        <w:rPr>
          <w:rFonts w:asciiTheme="majorHAnsi" w:eastAsiaTheme="minorHAnsi" w:hAnsiTheme="majorHAnsi" w:cs="Times New Roman"/>
          <w:b/>
          <w:bCs/>
        </w:rPr>
        <w:t xml:space="preserve"> </w:t>
      </w:r>
      <w:r w:rsidR="0089724D" w:rsidRPr="000B573F">
        <w:rPr>
          <w:rFonts w:asciiTheme="majorHAnsi" w:eastAsiaTheme="minorHAnsi" w:hAnsiTheme="majorHAnsi" w:cs="Times New Roman"/>
          <w:bCs/>
        </w:rPr>
        <w:t xml:space="preserve">con </w:t>
      </w:r>
      <w:r w:rsidRPr="000B573F">
        <w:rPr>
          <w:rFonts w:asciiTheme="majorHAnsi" w:eastAsiaTheme="minorHAnsi" w:hAnsiTheme="majorHAnsi" w:cs="Times New Roman"/>
        </w:rPr>
        <w:t xml:space="preserve">i saluti istituzionali, </w:t>
      </w:r>
      <w:r w:rsidR="0089724D" w:rsidRPr="000B573F">
        <w:rPr>
          <w:rFonts w:asciiTheme="majorHAnsi" w:eastAsiaTheme="minorHAnsi" w:hAnsiTheme="majorHAnsi" w:cs="Times New Roman"/>
        </w:rPr>
        <w:t>cui seguirà</w:t>
      </w:r>
      <w:r w:rsidRPr="000B573F">
        <w:rPr>
          <w:rFonts w:asciiTheme="majorHAnsi" w:eastAsiaTheme="minorHAnsi" w:hAnsiTheme="majorHAnsi" w:cs="Times New Roman"/>
        </w:rPr>
        <w:t xml:space="preserve"> una prima sessione dedicata alla </w:t>
      </w:r>
      <w:r w:rsidRPr="000B573F">
        <w:rPr>
          <w:rFonts w:asciiTheme="majorHAnsi" w:eastAsiaTheme="minorHAnsi" w:hAnsiTheme="majorHAnsi" w:cs="Times New Roman"/>
          <w:b/>
          <w:bCs/>
        </w:rPr>
        <w:t xml:space="preserve">tutela giuridica del patrimonio culturale e alla pluralità multilivello delle </w:t>
      </w:r>
      <w:proofErr w:type="gramStart"/>
      <w:r w:rsidRPr="000B573F">
        <w:rPr>
          <w:rFonts w:asciiTheme="majorHAnsi" w:eastAsiaTheme="minorHAnsi" w:hAnsiTheme="majorHAnsi" w:cs="Times New Roman"/>
          <w:b/>
          <w:bCs/>
        </w:rPr>
        <w:t>regole</w:t>
      </w:r>
      <w:proofErr w:type="gramEnd"/>
      <w:r w:rsidRPr="000B573F">
        <w:rPr>
          <w:rFonts w:asciiTheme="majorHAnsi" w:eastAsiaTheme="minorHAnsi" w:hAnsiTheme="majorHAnsi" w:cs="Times New Roman"/>
        </w:rPr>
        <w:t xml:space="preserve">. A introdurre il tema sarà </w:t>
      </w:r>
      <w:r w:rsidRPr="000B573F">
        <w:rPr>
          <w:rFonts w:asciiTheme="majorHAnsi" w:eastAsiaTheme="minorHAnsi" w:hAnsiTheme="majorHAnsi" w:cs="Times New Roman"/>
          <w:b/>
        </w:rPr>
        <w:t>Francesca Fiorentini</w:t>
      </w:r>
      <w:r w:rsidRPr="000B573F">
        <w:rPr>
          <w:rFonts w:asciiTheme="majorHAnsi" w:eastAsiaTheme="minorHAnsi" w:hAnsiTheme="majorHAnsi" w:cs="Times New Roman"/>
        </w:rPr>
        <w:t xml:space="preserve">, coordinatrice del Sistema </w:t>
      </w:r>
      <w:proofErr w:type="gramStart"/>
      <w:r w:rsidRPr="000B573F">
        <w:rPr>
          <w:rFonts w:asciiTheme="majorHAnsi" w:eastAsiaTheme="minorHAnsi" w:hAnsiTheme="majorHAnsi" w:cs="Times New Roman"/>
        </w:rPr>
        <w:t>Museale</w:t>
      </w:r>
      <w:proofErr w:type="gramEnd"/>
      <w:r w:rsidRPr="000B573F">
        <w:rPr>
          <w:rFonts w:asciiTheme="majorHAnsi" w:eastAsiaTheme="minorHAnsi" w:hAnsiTheme="majorHAnsi" w:cs="Times New Roman"/>
        </w:rPr>
        <w:t xml:space="preserve"> dell’Università degli Studi di Trieste – </w:t>
      </w:r>
      <w:proofErr w:type="spellStart"/>
      <w:r w:rsidRPr="000B573F">
        <w:rPr>
          <w:rFonts w:asciiTheme="majorHAnsi" w:eastAsiaTheme="minorHAnsi" w:hAnsiTheme="majorHAnsi" w:cs="Times New Roman"/>
        </w:rPr>
        <w:t>smaTs</w:t>
      </w:r>
      <w:proofErr w:type="spellEnd"/>
      <w:r w:rsidRPr="000B573F">
        <w:rPr>
          <w:rFonts w:asciiTheme="majorHAnsi" w:eastAsiaTheme="minorHAnsi" w:hAnsiTheme="majorHAnsi" w:cs="Times New Roman"/>
        </w:rPr>
        <w:t>, con una riflessione sull’emersione storica della tutela internazionale del patrimonio culturale e sul rapporto tra arte, politica e identità culturali.</w:t>
      </w:r>
      <w:r w:rsidR="0089724D" w:rsidRPr="000B573F">
        <w:rPr>
          <w:rFonts w:asciiTheme="majorHAnsi" w:eastAsiaTheme="minorHAnsi" w:hAnsiTheme="majorHAnsi" w:cs="Times New Roman"/>
        </w:rPr>
        <w:br/>
      </w:r>
      <w:r w:rsidRPr="000B573F">
        <w:rPr>
          <w:rFonts w:asciiTheme="majorHAnsi" w:eastAsiaTheme="minorHAnsi" w:hAnsiTheme="majorHAnsi" w:cs="Times New Roman"/>
        </w:rPr>
        <w:t xml:space="preserve">Il quadro internazionale sarà quindi approfondito attraverso i contributi di </w:t>
      </w:r>
      <w:r w:rsidRPr="000B573F">
        <w:rPr>
          <w:rFonts w:asciiTheme="majorHAnsi" w:eastAsiaTheme="minorHAnsi" w:hAnsiTheme="majorHAnsi" w:cs="Times New Roman"/>
          <w:b/>
          <w:bCs/>
        </w:rPr>
        <w:t xml:space="preserve">Kristin </w:t>
      </w:r>
      <w:proofErr w:type="spellStart"/>
      <w:r w:rsidRPr="000B573F">
        <w:rPr>
          <w:rFonts w:asciiTheme="majorHAnsi" w:eastAsiaTheme="minorHAnsi" w:hAnsiTheme="majorHAnsi" w:cs="Times New Roman"/>
          <w:b/>
          <w:bCs/>
        </w:rPr>
        <w:t>Hausler</w:t>
      </w:r>
      <w:proofErr w:type="spellEnd"/>
      <w:r w:rsidRPr="000B573F">
        <w:rPr>
          <w:rFonts w:asciiTheme="majorHAnsi" w:eastAsiaTheme="minorHAnsi" w:hAnsiTheme="majorHAnsi" w:cs="Times New Roman"/>
        </w:rPr>
        <w:t xml:space="preserve">, del </w:t>
      </w:r>
      <w:proofErr w:type="spellStart"/>
      <w:r w:rsidRPr="000B573F">
        <w:rPr>
          <w:rFonts w:asciiTheme="majorHAnsi" w:eastAsiaTheme="minorHAnsi" w:hAnsiTheme="majorHAnsi" w:cs="Times New Roman"/>
        </w:rPr>
        <w:t>British</w:t>
      </w:r>
      <w:proofErr w:type="spellEnd"/>
      <w:r w:rsidRPr="000B573F">
        <w:rPr>
          <w:rFonts w:asciiTheme="majorHAnsi" w:eastAsiaTheme="minorHAnsi" w:hAnsiTheme="majorHAnsi" w:cs="Times New Roman"/>
        </w:rPr>
        <w:t xml:space="preserve"> </w:t>
      </w:r>
      <w:proofErr w:type="spellStart"/>
      <w:r w:rsidRPr="000B573F">
        <w:rPr>
          <w:rFonts w:asciiTheme="majorHAnsi" w:eastAsiaTheme="minorHAnsi" w:hAnsiTheme="majorHAnsi" w:cs="Times New Roman"/>
        </w:rPr>
        <w:t>Institute</w:t>
      </w:r>
      <w:proofErr w:type="spellEnd"/>
      <w:r w:rsidRPr="000B573F">
        <w:rPr>
          <w:rFonts w:asciiTheme="majorHAnsi" w:eastAsiaTheme="minorHAnsi" w:hAnsiTheme="majorHAnsi" w:cs="Times New Roman"/>
        </w:rPr>
        <w:t xml:space="preserve"> of International and Comparative Law di Londra, sull’adeguatezza dell’attuale sistema giuridico nella protezione del patrimonio durante i conflitti armati, e di </w:t>
      </w:r>
      <w:proofErr w:type="spellStart"/>
      <w:r w:rsidRPr="000B573F">
        <w:rPr>
          <w:rFonts w:asciiTheme="majorHAnsi" w:eastAsiaTheme="minorHAnsi" w:hAnsiTheme="majorHAnsi" w:cs="Times New Roman"/>
          <w:b/>
          <w:bCs/>
        </w:rPr>
        <w:t>Andrzej</w:t>
      </w:r>
      <w:proofErr w:type="spellEnd"/>
      <w:r w:rsidRPr="000B573F">
        <w:rPr>
          <w:rFonts w:asciiTheme="majorHAnsi" w:eastAsiaTheme="minorHAnsi" w:hAnsiTheme="majorHAnsi" w:cs="Times New Roman"/>
          <w:b/>
          <w:bCs/>
        </w:rPr>
        <w:t xml:space="preserve"> </w:t>
      </w:r>
      <w:proofErr w:type="spellStart"/>
      <w:r w:rsidRPr="000B573F">
        <w:rPr>
          <w:rFonts w:asciiTheme="majorHAnsi" w:eastAsiaTheme="minorHAnsi" w:hAnsiTheme="majorHAnsi" w:cs="Times New Roman"/>
          <w:b/>
          <w:bCs/>
        </w:rPr>
        <w:t>Jakubowski</w:t>
      </w:r>
      <w:proofErr w:type="spellEnd"/>
      <w:r w:rsidRPr="000B573F">
        <w:rPr>
          <w:rFonts w:asciiTheme="majorHAnsi" w:eastAsiaTheme="minorHAnsi" w:hAnsiTheme="majorHAnsi" w:cs="Times New Roman"/>
        </w:rPr>
        <w:t xml:space="preserve">, dell’Accademia Polacca delle Scienze </w:t>
      </w:r>
      <w:proofErr w:type="gramStart"/>
      <w:r w:rsidRPr="000B573F">
        <w:rPr>
          <w:rFonts w:asciiTheme="majorHAnsi" w:eastAsiaTheme="minorHAnsi" w:hAnsiTheme="majorHAnsi" w:cs="Times New Roman"/>
        </w:rPr>
        <w:t>di</w:t>
      </w:r>
      <w:proofErr w:type="gramEnd"/>
      <w:r w:rsidRPr="000B573F">
        <w:rPr>
          <w:rFonts w:asciiTheme="majorHAnsi" w:eastAsiaTheme="minorHAnsi" w:hAnsiTheme="majorHAnsi" w:cs="Times New Roman"/>
        </w:rPr>
        <w:t xml:space="preserve"> Varsavia, sul ruolo dell’Unione europea. Seguirà l’analisi dell’evoluzione delle strategie </w:t>
      </w:r>
      <w:proofErr w:type="gramStart"/>
      <w:r w:rsidRPr="000B573F">
        <w:rPr>
          <w:rFonts w:asciiTheme="majorHAnsi" w:eastAsiaTheme="minorHAnsi" w:hAnsiTheme="majorHAnsi" w:cs="Times New Roman"/>
        </w:rPr>
        <w:t>di</w:t>
      </w:r>
      <w:proofErr w:type="gramEnd"/>
      <w:r w:rsidRPr="000B573F">
        <w:rPr>
          <w:rFonts w:asciiTheme="majorHAnsi" w:eastAsiaTheme="minorHAnsi" w:hAnsiTheme="majorHAnsi" w:cs="Times New Roman"/>
        </w:rPr>
        <w:t xml:space="preserve"> contrasto penale alle offese al patrimonio culturale, affidata ad </w:t>
      </w:r>
      <w:r w:rsidRPr="000B573F">
        <w:rPr>
          <w:rFonts w:asciiTheme="majorHAnsi" w:eastAsiaTheme="minorHAnsi" w:hAnsiTheme="majorHAnsi" w:cs="Times New Roman"/>
          <w:b/>
          <w:bCs/>
        </w:rPr>
        <w:t>Arianna Visconti</w:t>
      </w:r>
      <w:r w:rsidRPr="000B573F">
        <w:rPr>
          <w:rFonts w:asciiTheme="majorHAnsi" w:eastAsiaTheme="minorHAnsi" w:hAnsiTheme="majorHAnsi" w:cs="Times New Roman"/>
        </w:rPr>
        <w:t xml:space="preserve"> dell’Università Cattolica del Sacro Cuore.</w:t>
      </w:r>
    </w:p>
    <w:p w14:paraId="14F214D1" w14:textId="77777777" w:rsidR="0065749C" w:rsidRPr="000B573F" w:rsidRDefault="0065749C" w:rsidP="0065749C">
      <w:pPr>
        <w:spacing w:after="180"/>
        <w:rPr>
          <w:rFonts w:asciiTheme="majorHAnsi" w:eastAsiaTheme="minorHAnsi" w:hAnsiTheme="majorHAnsi" w:cs="Times New Roman"/>
        </w:rPr>
      </w:pPr>
      <w:r w:rsidRPr="000B573F">
        <w:rPr>
          <w:rFonts w:asciiTheme="majorHAnsi" w:eastAsiaTheme="minorHAnsi" w:hAnsiTheme="majorHAnsi" w:cs="Times New Roman"/>
        </w:rPr>
        <w:t xml:space="preserve">La sessione pomeridiana entrerà quindi nel vivo delle esperienze maturate nei </w:t>
      </w:r>
      <w:proofErr w:type="gramStart"/>
      <w:r w:rsidRPr="000B573F">
        <w:rPr>
          <w:rFonts w:asciiTheme="majorHAnsi" w:eastAsiaTheme="minorHAnsi" w:hAnsiTheme="majorHAnsi" w:cs="Times New Roman"/>
        </w:rPr>
        <w:t>contesti</w:t>
      </w:r>
      <w:proofErr w:type="gramEnd"/>
      <w:r w:rsidRPr="000B573F">
        <w:rPr>
          <w:rFonts w:asciiTheme="majorHAnsi" w:eastAsiaTheme="minorHAnsi" w:hAnsiTheme="majorHAnsi" w:cs="Times New Roman"/>
        </w:rPr>
        <w:t xml:space="preserve"> di crisi. </w:t>
      </w:r>
      <w:proofErr w:type="spellStart"/>
      <w:r w:rsidRPr="000B573F">
        <w:rPr>
          <w:rFonts w:asciiTheme="majorHAnsi" w:eastAsiaTheme="minorHAnsi" w:hAnsiTheme="majorHAnsi" w:cs="Times New Roman"/>
          <w:b/>
          <w:bCs/>
        </w:rPr>
        <w:t>Tetiana</w:t>
      </w:r>
      <w:proofErr w:type="spellEnd"/>
      <w:r w:rsidRPr="000B573F">
        <w:rPr>
          <w:rFonts w:asciiTheme="majorHAnsi" w:eastAsiaTheme="minorHAnsi" w:hAnsiTheme="majorHAnsi" w:cs="Times New Roman"/>
          <w:b/>
          <w:bCs/>
        </w:rPr>
        <w:t xml:space="preserve"> </w:t>
      </w:r>
      <w:proofErr w:type="gramStart"/>
      <w:r w:rsidRPr="000B573F">
        <w:rPr>
          <w:rFonts w:asciiTheme="majorHAnsi" w:eastAsiaTheme="minorHAnsi" w:hAnsiTheme="majorHAnsi" w:cs="Times New Roman"/>
          <w:b/>
          <w:bCs/>
        </w:rPr>
        <w:t>Shevchenko</w:t>
      </w:r>
      <w:r w:rsidRPr="000B573F">
        <w:rPr>
          <w:rFonts w:asciiTheme="majorHAnsi" w:eastAsiaTheme="minorHAnsi" w:hAnsiTheme="majorHAnsi" w:cs="Times New Roman"/>
        </w:rPr>
        <w:t>,</w:t>
      </w:r>
      <w:proofErr w:type="gramEnd"/>
      <w:r w:rsidRPr="000B573F">
        <w:rPr>
          <w:rFonts w:asciiTheme="majorHAnsi" w:eastAsiaTheme="minorHAnsi" w:hAnsiTheme="majorHAnsi" w:cs="Times New Roman"/>
        </w:rPr>
        <w:t xml:space="preserve"> della State </w:t>
      </w:r>
      <w:proofErr w:type="spellStart"/>
      <w:r w:rsidRPr="000B573F">
        <w:rPr>
          <w:rFonts w:asciiTheme="majorHAnsi" w:eastAsiaTheme="minorHAnsi" w:hAnsiTheme="majorHAnsi" w:cs="Times New Roman"/>
        </w:rPr>
        <w:t>Archival</w:t>
      </w:r>
      <w:proofErr w:type="spellEnd"/>
      <w:r w:rsidRPr="000B573F">
        <w:rPr>
          <w:rFonts w:asciiTheme="majorHAnsi" w:eastAsiaTheme="minorHAnsi" w:hAnsiTheme="majorHAnsi" w:cs="Times New Roman"/>
        </w:rPr>
        <w:t xml:space="preserve"> Service of Ukraine, affronterà il tema della protezione </w:t>
      </w:r>
      <w:r w:rsidRPr="000B573F">
        <w:rPr>
          <w:rFonts w:asciiTheme="majorHAnsi" w:eastAsiaTheme="minorHAnsi" w:hAnsiTheme="majorHAnsi" w:cs="Times New Roman"/>
        </w:rPr>
        <w:lastRenderedPageBreak/>
        <w:t xml:space="preserve">degli archivi nei conflitti armati, a partire dall’esperienza dell’Ucraina. Dalla gestione dell’emergenza alla prevenzione sarà invece il percorso proposto da </w:t>
      </w:r>
      <w:r w:rsidRPr="000B573F">
        <w:rPr>
          <w:rFonts w:asciiTheme="majorHAnsi" w:eastAsiaTheme="minorHAnsi" w:hAnsiTheme="majorHAnsi" w:cs="Times New Roman"/>
          <w:b/>
          <w:bCs/>
        </w:rPr>
        <w:t>Paola Ventura</w:t>
      </w:r>
      <w:r w:rsidRPr="000B573F">
        <w:rPr>
          <w:rFonts w:asciiTheme="majorHAnsi" w:eastAsiaTheme="minorHAnsi" w:hAnsiTheme="majorHAnsi" w:cs="Times New Roman"/>
        </w:rPr>
        <w:t xml:space="preserve">, Soprintendente Archeologia, belle arti e paesaggio per il Friuli Venezia Giulia, mentre </w:t>
      </w:r>
      <w:r w:rsidRPr="000B573F">
        <w:rPr>
          <w:rFonts w:asciiTheme="majorHAnsi" w:eastAsiaTheme="minorHAnsi" w:hAnsiTheme="majorHAnsi" w:cs="Times New Roman"/>
          <w:b/>
          <w:bCs/>
        </w:rPr>
        <w:t xml:space="preserve">Giorgio Zarantonello e Luigi </w:t>
      </w:r>
      <w:proofErr w:type="spellStart"/>
      <w:proofErr w:type="gramStart"/>
      <w:r w:rsidRPr="000B573F">
        <w:rPr>
          <w:rFonts w:asciiTheme="majorHAnsi" w:eastAsiaTheme="minorHAnsi" w:hAnsiTheme="majorHAnsi" w:cs="Times New Roman"/>
          <w:b/>
          <w:bCs/>
        </w:rPr>
        <w:t>Portacci</w:t>
      </w:r>
      <w:proofErr w:type="spellEnd"/>
      <w:r w:rsidRPr="000B573F">
        <w:rPr>
          <w:rFonts w:asciiTheme="majorHAnsi" w:eastAsiaTheme="minorHAnsi" w:hAnsiTheme="majorHAnsi" w:cs="Times New Roman"/>
        </w:rPr>
        <w:t>,</w:t>
      </w:r>
      <w:proofErr w:type="gramEnd"/>
      <w:r w:rsidRPr="000B573F">
        <w:rPr>
          <w:rFonts w:asciiTheme="majorHAnsi" w:eastAsiaTheme="minorHAnsi" w:hAnsiTheme="majorHAnsi" w:cs="Times New Roman"/>
        </w:rPr>
        <w:t xml:space="preserve"> del Nucleo Carabinieri per la tutela del patrimonio culturale di Udine, illustreranno le funzioni del Comando TPC nelle aree di conflitto. A chiudere la prima giornata sarà </w:t>
      </w:r>
      <w:r w:rsidRPr="000B573F">
        <w:rPr>
          <w:rFonts w:asciiTheme="majorHAnsi" w:eastAsiaTheme="minorHAnsi" w:hAnsiTheme="majorHAnsi" w:cs="Times New Roman"/>
          <w:b/>
          <w:bCs/>
        </w:rPr>
        <w:t>Antonella Pinna</w:t>
      </w:r>
      <w:r w:rsidRPr="000B573F">
        <w:rPr>
          <w:rFonts w:asciiTheme="majorHAnsi" w:eastAsiaTheme="minorHAnsi" w:hAnsiTheme="majorHAnsi" w:cs="Times New Roman"/>
        </w:rPr>
        <w:t>, presidente di ICOM Italia, con una riflessione sulla cultura della prevenzione, dalla pianificazione alla gestione dell’emergenza. Il confronto con i partecipanti proseguirà con una sessione di domande e risposte.</w:t>
      </w:r>
    </w:p>
    <w:p w14:paraId="2615510C" w14:textId="77777777" w:rsidR="0065749C" w:rsidRPr="000B573F" w:rsidRDefault="0065749C" w:rsidP="0065749C">
      <w:pPr>
        <w:spacing w:after="180"/>
        <w:rPr>
          <w:rFonts w:asciiTheme="majorHAnsi" w:eastAsiaTheme="minorHAnsi" w:hAnsiTheme="majorHAnsi" w:cs="Times New Roman"/>
        </w:rPr>
      </w:pPr>
      <w:r w:rsidRPr="000B573F">
        <w:rPr>
          <w:rFonts w:asciiTheme="majorHAnsi" w:eastAsiaTheme="minorHAnsi" w:hAnsiTheme="majorHAnsi" w:cs="Times New Roman"/>
        </w:rPr>
        <w:t xml:space="preserve">I lavori riprenderanno </w:t>
      </w:r>
      <w:r w:rsidRPr="000B573F">
        <w:rPr>
          <w:rFonts w:asciiTheme="majorHAnsi" w:eastAsiaTheme="minorHAnsi" w:hAnsiTheme="majorHAnsi" w:cs="Times New Roman"/>
          <w:b/>
          <w:bCs/>
        </w:rPr>
        <w:t xml:space="preserve">venerdì 23 ottobre alle </w:t>
      </w:r>
      <w:proofErr w:type="gramStart"/>
      <w:r w:rsidRPr="000B573F">
        <w:rPr>
          <w:rFonts w:asciiTheme="majorHAnsi" w:eastAsiaTheme="minorHAnsi" w:hAnsiTheme="majorHAnsi" w:cs="Times New Roman"/>
          <w:b/>
          <w:bCs/>
        </w:rPr>
        <w:t>9</w:t>
      </w:r>
      <w:proofErr w:type="gramEnd"/>
      <w:r w:rsidRPr="000B573F">
        <w:rPr>
          <w:rFonts w:asciiTheme="majorHAnsi" w:eastAsiaTheme="minorHAnsi" w:hAnsiTheme="majorHAnsi" w:cs="Times New Roman"/>
        </w:rPr>
        <w:t xml:space="preserve"> con la seconda sessione, dedicata a </w:t>
      </w:r>
      <w:r w:rsidRPr="000B573F">
        <w:rPr>
          <w:rFonts w:asciiTheme="majorHAnsi" w:eastAsiaTheme="minorHAnsi" w:hAnsiTheme="majorHAnsi" w:cs="Times New Roman"/>
          <w:b/>
          <w:bCs/>
        </w:rPr>
        <w:t>casi concreti, problemi e nuove strategie di protezione</w:t>
      </w:r>
      <w:r w:rsidRPr="000B573F">
        <w:rPr>
          <w:rFonts w:asciiTheme="majorHAnsi" w:eastAsiaTheme="minorHAnsi" w:hAnsiTheme="majorHAnsi" w:cs="Times New Roman"/>
        </w:rPr>
        <w:t xml:space="preserve">. Dalle esperienze di conservazione e valorizzazione degli archivi e delle collezioni, illustrate da </w:t>
      </w:r>
      <w:r w:rsidRPr="000B573F">
        <w:rPr>
          <w:rFonts w:asciiTheme="majorHAnsi" w:eastAsiaTheme="minorHAnsi" w:hAnsiTheme="majorHAnsi" w:cs="Times New Roman"/>
          <w:b/>
          <w:bCs/>
        </w:rPr>
        <w:t>Lorenzo Michelli</w:t>
      </w:r>
      <w:r w:rsidRPr="000B573F">
        <w:rPr>
          <w:rFonts w:asciiTheme="majorHAnsi" w:eastAsiaTheme="minorHAnsi" w:hAnsiTheme="majorHAnsi" w:cs="Times New Roman"/>
        </w:rPr>
        <w:t xml:space="preserve"> dell’ERPAC – Regione Friuli Venezia Giulia, si passerà al rapporto tra arte, assicurazione e protezione con </w:t>
      </w:r>
      <w:r w:rsidRPr="000B573F">
        <w:rPr>
          <w:rFonts w:asciiTheme="majorHAnsi" w:eastAsiaTheme="minorHAnsi" w:hAnsiTheme="majorHAnsi" w:cs="Times New Roman"/>
          <w:b/>
          <w:bCs/>
        </w:rPr>
        <w:t>Cristina Resti</w:t>
      </w:r>
      <w:r w:rsidRPr="000B573F">
        <w:rPr>
          <w:rFonts w:asciiTheme="majorHAnsi" w:eastAsiaTheme="minorHAnsi" w:hAnsiTheme="majorHAnsi" w:cs="Times New Roman"/>
        </w:rPr>
        <w:t xml:space="preserve">, Art Expert &amp; Art Network Manager di ARTE Generali Italia, e </w:t>
      </w:r>
      <w:r w:rsidRPr="000B573F">
        <w:rPr>
          <w:rFonts w:asciiTheme="majorHAnsi" w:eastAsiaTheme="minorHAnsi" w:hAnsiTheme="majorHAnsi" w:cs="Times New Roman"/>
          <w:b/>
          <w:bCs/>
        </w:rPr>
        <w:t xml:space="preserve">Silvia </w:t>
      </w:r>
      <w:proofErr w:type="spellStart"/>
      <w:r w:rsidRPr="000B573F">
        <w:rPr>
          <w:rFonts w:asciiTheme="majorHAnsi" w:eastAsiaTheme="minorHAnsi" w:hAnsiTheme="majorHAnsi" w:cs="Times New Roman"/>
          <w:b/>
          <w:bCs/>
        </w:rPr>
        <w:t>Stener</w:t>
      </w:r>
      <w:proofErr w:type="spellEnd"/>
      <w:r w:rsidRPr="000B573F">
        <w:rPr>
          <w:rFonts w:asciiTheme="majorHAnsi" w:eastAsiaTheme="minorHAnsi" w:hAnsiTheme="majorHAnsi" w:cs="Times New Roman"/>
        </w:rPr>
        <w:t>, storica dell’arte e archivista di Assicurazioni Generali.</w:t>
      </w:r>
      <w:r w:rsidR="0089724D" w:rsidRPr="000B573F">
        <w:rPr>
          <w:rFonts w:asciiTheme="majorHAnsi" w:eastAsiaTheme="minorHAnsi" w:hAnsiTheme="majorHAnsi" w:cs="Times New Roman"/>
        </w:rPr>
        <w:br/>
      </w:r>
      <w:r w:rsidRPr="000B573F">
        <w:rPr>
          <w:rFonts w:asciiTheme="majorHAnsi" w:eastAsiaTheme="minorHAnsi" w:hAnsiTheme="majorHAnsi" w:cs="Times New Roman"/>
        </w:rPr>
        <w:t xml:space="preserve">Particolare attenzione sarà dedicata alle esperienze territoriali e alle nuove </w:t>
      </w:r>
      <w:proofErr w:type="gramStart"/>
      <w:r w:rsidRPr="000B573F">
        <w:rPr>
          <w:rFonts w:asciiTheme="majorHAnsi" w:eastAsiaTheme="minorHAnsi" w:hAnsiTheme="majorHAnsi" w:cs="Times New Roman"/>
        </w:rPr>
        <w:t>modalità</w:t>
      </w:r>
      <w:proofErr w:type="gramEnd"/>
      <w:r w:rsidRPr="000B573F">
        <w:rPr>
          <w:rFonts w:asciiTheme="majorHAnsi" w:eastAsiaTheme="minorHAnsi" w:hAnsiTheme="majorHAnsi" w:cs="Times New Roman"/>
        </w:rPr>
        <w:t xml:space="preserve"> di intervento in situazioni di pericolo. </w:t>
      </w:r>
      <w:r w:rsidRPr="000B573F">
        <w:rPr>
          <w:rFonts w:asciiTheme="majorHAnsi" w:eastAsiaTheme="minorHAnsi" w:hAnsiTheme="majorHAnsi" w:cs="Times New Roman"/>
          <w:b/>
          <w:bCs/>
        </w:rPr>
        <w:t xml:space="preserve">Daniele Spizzichino e Marica </w:t>
      </w:r>
      <w:proofErr w:type="spellStart"/>
      <w:r w:rsidRPr="000B573F">
        <w:rPr>
          <w:rFonts w:asciiTheme="majorHAnsi" w:eastAsiaTheme="minorHAnsi" w:hAnsiTheme="majorHAnsi" w:cs="Times New Roman"/>
          <w:b/>
          <w:bCs/>
        </w:rPr>
        <w:t>Mercalli</w:t>
      </w:r>
      <w:proofErr w:type="spellEnd"/>
      <w:r w:rsidRPr="000B573F">
        <w:rPr>
          <w:rFonts w:asciiTheme="majorHAnsi" w:eastAsiaTheme="minorHAnsi" w:hAnsiTheme="majorHAnsi" w:cs="Times New Roman"/>
        </w:rPr>
        <w:t xml:space="preserve">, di Scudo Blu Italia, presenteranno le attività </w:t>
      </w:r>
      <w:proofErr w:type="gramStart"/>
      <w:r w:rsidRPr="000B573F">
        <w:rPr>
          <w:rFonts w:asciiTheme="majorHAnsi" w:eastAsiaTheme="minorHAnsi" w:hAnsiTheme="majorHAnsi" w:cs="Times New Roman"/>
        </w:rPr>
        <w:t xml:space="preserve">di </w:t>
      </w:r>
      <w:proofErr w:type="gramEnd"/>
      <w:r w:rsidRPr="000B573F">
        <w:rPr>
          <w:rFonts w:asciiTheme="majorHAnsi" w:eastAsiaTheme="minorHAnsi" w:hAnsiTheme="majorHAnsi" w:cs="Times New Roman"/>
        </w:rPr>
        <w:t xml:space="preserve">individuazione e protezione del patrimonio culturale a rischio, mentre </w:t>
      </w:r>
      <w:r w:rsidRPr="000B573F">
        <w:rPr>
          <w:rFonts w:asciiTheme="majorHAnsi" w:eastAsiaTheme="minorHAnsi" w:hAnsiTheme="majorHAnsi" w:cs="Times New Roman"/>
          <w:b/>
          <w:bCs/>
        </w:rPr>
        <w:t xml:space="preserve">Michela </w:t>
      </w:r>
      <w:proofErr w:type="spellStart"/>
      <w:r w:rsidRPr="000B573F">
        <w:rPr>
          <w:rFonts w:asciiTheme="majorHAnsi" w:eastAsiaTheme="minorHAnsi" w:hAnsiTheme="majorHAnsi" w:cs="Times New Roman"/>
          <w:b/>
          <w:bCs/>
        </w:rPr>
        <w:t>Lorenzon</w:t>
      </w:r>
      <w:proofErr w:type="spellEnd"/>
      <w:r w:rsidRPr="000B573F">
        <w:rPr>
          <w:rFonts w:asciiTheme="majorHAnsi" w:eastAsiaTheme="minorHAnsi" w:hAnsiTheme="majorHAnsi" w:cs="Times New Roman"/>
        </w:rPr>
        <w:t xml:space="preserve">, del Comune di Palmanova, illustrerà il progetto </w:t>
      </w:r>
      <w:proofErr w:type="spellStart"/>
      <w:r w:rsidRPr="000B573F">
        <w:rPr>
          <w:rFonts w:asciiTheme="majorHAnsi" w:eastAsiaTheme="minorHAnsi" w:hAnsiTheme="majorHAnsi" w:cs="Times New Roman"/>
          <w:b/>
          <w:bCs/>
        </w:rPr>
        <w:t>Recovery</w:t>
      </w:r>
      <w:proofErr w:type="spellEnd"/>
      <w:r w:rsidRPr="000B573F">
        <w:rPr>
          <w:rFonts w:asciiTheme="majorHAnsi" w:eastAsiaTheme="minorHAnsi" w:hAnsiTheme="majorHAnsi" w:cs="Times New Roman"/>
          <w:b/>
          <w:bCs/>
        </w:rPr>
        <w:t xml:space="preserve"> Art Palmanova</w:t>
      </w:r>
      <w:r w:rsidRPr="000B573F">
        <w:rPr>
          <w:rFonts w:asciiTheme="majorHAnsi" w:eastAsiaTheme="minorHAnsi" w:hAnsiTheme="majorHAnsi" w:cs="Times New Roman"/>
        </w:rPr>
        <w:t>, dedicato alla gestione del patrimonio culturale nell’emergenza.</w:t>
      </w:r>
      <w:r w:rsidR="0089724D" w:rsidRPr="000B573F">
        <w:rPr>
          <w:rFonts w:asciiTheme="majorHAnsi" w:eastAsiaTheme="minorHAnsi" w:hAnsiTheme="majorHAnsi" w:cs="Times New Roman"/>
        </w:rPr>
        <w:br/>
      </w:r>
      <w:r w:rsidRPr="000B573F">
        <w:rPr>
          <w:rFonts w:asciiTheme="majorHAnsi" w:eastAsiaTheme="minorHAnsi" w:hAnsiTheme="majorHAnsi" w:cs="Times New Roman"/>
        </w:rPr>
        <w:t xml:space="preserve">La seconda parte della mattinata allargherà lo sguardo alle nuove tecnologie e alla dimensione digitale della memoria. </w:t>
      </w:r>
      <w:r w:rsidRPr="000B573F">
        <w:rPr>
          <w:rFonts w:asciiTheme="majorHAnsi" w:eastAsiaTheme="minorHAnsi" w:hAnsiTheme="majorHAnsi" w:cs="Times New Roman"/>
          <w:b/>
          <w:bCs/>
        </w:rPr>
        <w:t xml:space="preserve">Michela De </w:t>
      </w:r>
      <w:proofErr w:type="spellStart"/>
      <w:proofErr w:type="gramStart"/>
      <w:r w:rsidRPr="000B573F">
        <w:rPr>
          <w:rFonts w:asciiTheme="majorHAnsi" w:eastAsiaTheme="minorHAnsi" w:hAnsiTheme="majorHAnsi" w:cs="Times New Roman"/>
          <w:b/>
          <w:bCs/>
        </w:rPr>
        <w:t>Bernardin</w:t>
      </w:r>
      <w:proofErr w:type="spellEnd"/>
      <w:r w:rsidRPr="000B573F">
        <w:rPr>
          <w:rFonts w:asciiTheme="majorHAnsi" w:eastAsiaTheme="minorHAnsi" w:hAnsiTheme="majorHAnsi" w:cs="Times New Roman"/>
        </w:rPr>
        <w:t>,</w:t>
      </w:r>
      <w:proofErr w:type="gramEnd"/>
      <w:r w:rsidRPr="000B573F">
        <w:rPr>
          <w:rFonts w:asciiTheme="majorHAnsi" w:eastAsiaTheme="minorHAnsi" w:hAnsiTheme="majorHAnsi" w:cs="Times New Roman"/>
        </w:rPr>
        <w:t xml:space="preserve"> dell’Istituto Italiano di Tecnologia applicata ai beni culturali, parlerà di monitoraggio, tracciamento e contrasto alla perdita del patrimonio nei conflitti contemporanei. </w:t>
      </w:r>
      <w:r w:rsidRPr="000B573F">
        <w:rPr>
          <w:rFonts w:asciiTheme="majorHAnsi" w:eastAsiaTheme="minorHAnsi" w:hAnsiTheme="majorHAnsi" w:cs="Times New Roman"/>
          <w:b/>
          <w:bCs/>
        </w:rPr>
        <w:t>Chiara Cabbia</w:t>
      </w:r>
      <w:r w:rsidRPr="000B573F">
        <w:rPr>
          <w:rFonts w:asciiTheme="majorHAnsi" w:eastAsiaTheme="minorHAnsi" w:hAnsiTheme="majorHAnsi" w:cs="Times New Roman"/>
        </w:rPr>
        <w:t xml:space="preserve">, dell’Università IUAV di Venezia, affronterà invece il tema della sicurezza e dell’accesso agli archivi digitali, mentre </w:t>
      </w:r>
      <w:r w:rsidRPr="000B573F">
        <w:rPr>
          <w:rFonts w:asciiTheme="majorHAnsi" w:eastAsiaTheme="minorHAnsi" w:hAnsiTheme="majorHAnsi" w:cs="Times New Roman"/>
          <w:b/>
          <w:bCs/>
        </w:rPr>
        <w:t>Elisabetta Lippolis</w:t>
      </w:r>
      <w:r w:rsidRPr="000B573F">
        <w:rPr>
          <w:rFonts w:asciiTheme="majorHAnsi" w:eastAsiaTheme="minorHAnsi" w:hAnsiTheme="majorHAnsi" w:cs="Times New Roman"/>
        </w:rPr>
        <w:t xml:space="preserve">, presidente di IBBY Italia, presenterà l’esperienza della rete </w:t>
      </w:r>
      <w:proofErr w:type="spellStart"/>
      <w:r w:rsidRPr="000B573F">
        <w:rPr>
          <w:rFonts w:asciiTheme="majorHAnsi" w:eastAsiaTheme="minorHAnsi" w:hAnsiTheme="majorHAnsi" w:cs="Times New Roman"/>
        </w:rPr>
        <w:t>multiprofessionale</w:t>
      </w:r>
      <w:proofErr w:type="spellEnd"/>
      <w:r w:rsidRPr="000B573F">
        <w:rPr>
          <w:rFonts w:asciiTheme="majorHAnsi" w:eastAsiaTheme="minorHAnsi" w:hAnsiTheme="majorHAnsi" w:cs="Times New Roman"/>
        </w:rPr>
        <w:t xml:space="preserve"> internazionale impegnata nella </w:t>
      </w:r>
      <w:proofErr w:type="gramStart"/>
      <w:r w:rsidRPr="000B573F">
        <w:rPr>
          <w:rFonts w:asciiTheme="majorHAnsi" w:eastAsiaTheme="minorHAnsi" w:hAnsiTheme="majorHAnsi" w:cs="Times New Roman"/>
        </w:rPr>
        <w:t>promozione</w:t>
      </w:r>
      <w:proofErr w:type="gramEnd"/>
      <w:r w:rsidRPr="000B573F">
        <w:rPr>
          <w:rFonts w:asciiTheme="majorHAnsi" w:eastAsiaTheme="minorHAnsi" w:hAnsiTheme="majorHAnsi" w:cs="Times New Roman"/>
        </w:rPr>
        <w:t xml:space="preserve"> della lettura in situazioni di fragilità, conflitto e crisi. A chiudere la sessione saranno </w:t>
      </w:r>
      <w:r w:rsidRPr="000B573F">
        <w:rPr>
          <w:rFonts w:asciiTheme="majorHAnsi" w:eastAsiaTheme="minorHAnsi" w:hAnsiTheme="majorHAnsi" w:cs="Times New Roman"/>
          <w:b/>
          <w:bCs/>
        </w:rPr>
        <w:t xml:space="preserve">Francesca </w:t>
      </w:r>
      <w:proofErr w:type="spellStart"/>
      <w:r w:rsidRPr="000B573F">
        <w:rPr>
          <w:rFonts w:asciiTheme="majorHAnsi" w:eastAsiaTheme="minorHAnsi" w:hAnsiTheme="majorHAnsi" w:cs="Times New Roman"/>
          <w:b/>
          <w:bCs/>
        </w:rPr>
        <w:t>Cadeddu</w:t>
      </w:r>
      <w:proofErr w:type="spellEnd"/>
      <w:r w:rsidRPr="000B573F">
        <w:rPr>
          <w:rFonts w:asciiTheme="majorHAnsi" w:eastAsiaTheme="minorHAnsi" w:hAnsiTheme="majorHAnsi" w:cs="Times New Roman"/>
        </w:rPr>
        <w:t xml:space="preserve">, di AIB, e </w:t>
      </w:r>
      <w:r w:rsidRPr="000B573F">
        <w:rPr>
          <w:rFonts w:asciiTheme="majorHAnsi" w:eastAsiaTheme="minorHAnsi" w:hAnsiTheme="majorHAnsi" w:cs="Times New Roman"/>
          <w:b/>
          <w:bCs/>
        </w:rPr>
        <w:t>Ilaria Gaudiello</w:t>
      </w:r>
      <w:r w:rsidRPr="000B573F">
        <w:rPr>
          <w:rFonts w:asciiTheme="majorHAnsi" w:eastAsiaTheme="minorHAnsi" w:hAnsiTheme="majorHAnsi" w:cs="Times New Roman"/>
        </w:rPr>
        <w:t>, di Biblioteche Senza Frontiere, con una riflessione sulle biblioteche come presidi accoglienti e solidali.</w:t>
      </w:r>
      <w:r w:rsidR="0089724D" w:rsidRPr="000B573F">
        <w:rPr>
          <w:rFonts w:asciiTheme="majorHAnsi" w:eastAsiaTheme="minorHAnsi" w:hAnsiTheme="majorHAnsi" w:cs="Times New Roman"/>
        </w:rPr>
        <w:br/>
      </w:r>
      <w:r w:rsidRPr="000B573F">
        <w:rPr>
          <w:rFonts w:asciiTheme="majorHAnsi" w:eastAsiaTheme="minorHAnsi" w:hAnsiTheme="majorHAnsi" w:cs="Times New Roman"/>
        </w:rPr>
        <w:t xml:space="preserve">Nel pomeriggio, dalle </w:t>
      </w:r>
      <w:r w:rsidRPr="000B573F">
        <w:rPr>
          <w:rFonts w:asciiTheme="majorHAnsi" w:eastAsiaTheme="minorHAnsi" w:hAnsiTheme="majorHAnsi" w:cs="Times New Roman"/>
          <w:b/>
          <w:bCs/>
        </w:rPr>
        <w:t xml:space="preserve">15.30 alle </w:t>
      </w:r>
      <w:proofErr w:type="gramStart"/>
      <w:r w:rsidRPr="000B573F">
        <w:rPr>
          <w:rFonts w:asciiTheme="majorHAnsi" w:eastAsiaTheme="minorHAnsi" w:hAnsiTheme="majorHAnsi" w:cs="Times New Roman"/>
          <w:b/>
          <w:bCs/>
        </w:rPr>
        <w:t>17</w:t>
      </w:r>
      <w:proofErr w:type="gramEnd"/>
      <w:r w:rsidRPr="000B573F">
        <w:rPr>
          <w:rFonts w:asciiTheme="majorHAnsi" w:eastAsiaTheme="minorHAnsi" w:hAnsiTheme="majorHAnsi" w:cs="Times New Roman"/>
        </w:rPr>
        <w:t xml:space="preserve">, il programma proseguirà con l’incontro </w:t>
      </w:r>
      <w:r w:rsidRPr="000B573F">
        <w:rPr>
          <w:rFonts w:asciiTheme="majorHAnsi" w:eastAsiaTheme="minorHAnsi" w:hAnsiTheme="majorHAnsi" w:cs="Times New Roman"/>
          <w:b/>
          <w:bCs/>
        </w:rPr>
        <w:t xml:space="preserve">“Dati, prodotti e servizi satellitari per la protezione del patrimonio naturale e culturale: da </w:t>
      </w:r>
      <w:proofErr w:type="spellStart"/>
      <w:r w:rsidRPr="000B573F">
        <w:rPr>
          <w:rFonts w:asciiTheme="majorHAnsi" w:eastAsiaTheme="minorHAnsi" w:hAnsiTheme="majorHAnsi" w:cs="Times New Roman"/>
          <w:b/>
          <w:bCs/>
        </w:rPr>
        <w:t>Copernicus</w:t>
      </w:r>
      <w:proofErr w:type="spellEnd"/>
      <w:r w:rsidRPr="000B573F">
        <w:rPr>
          <w:rFonts w:asciiTheme="majorHAnsi" w:eastAsiaTheme="minorHAnsi" w:hAnsiTheme="majorHAnsi" w:cs="Times New Roman"/>
          <w:b/>
          <w:bCs/>
        </w:rPr>
        <w:t xml:space="preserve"> al </w:t>
      </w:r>
      <w:proofErr w:type="spellStart"/>
      <w:r w:rsidRPr="000B573F">
        <w:rPr>
          <w:rFonts w:asciiTheme="majorHAnsi" w:eastAsiaTheme="minorHAnsi" w:hAnsiTheme="majorHAnsi" w:cs="Times New Roman"/>
          <w:b/>
          <w:bCs/>
        </w:rPr>
        <w:t>Technological</w:t>
      </w:r>
      <w:proofErr w:type="spellEnd"/>
      <w:r w:rsidRPr="000B573F">
        <w:rPr>
          <w:rFonts w:asciiTheme="majorHAnsi" w:eastAsiaTheme="minorHAnsi" w:hAnsiTheme="majorHAnsi" w:cs="Times New Roman"/>
          <w:b/>
          <w:bCs/>
        </w:rPr>
        <w:t xml:space="preserve"> </w:t>
      </w:r>
      <w:proofErr w:type="spellStart"/>
      <w:r w:rsidRPr="000B573F">
        <w:rPr>
          <w:rFonts w:asciiTheme="majorHAnsi" w:eastAsiaTheme="minorHAnsi" w:hAnsiTheme="majorHAnsi" w:cs="Times New Roman"/>
          <w:b/>
          <w:bCs/>
        </w:rPr>
        <w:t>Hub</w:t>
      </w:r>
      <w:proofErr w:type="spellEnd"/>
      <w:r w:rsidRPr="000B573F">
        <w:rPr>
          <w:rFonts w:asciiTheme="majorHAnsi" w:eastAsiaTheme="minorHAnsi" w:hAnsiTheme="majorHAnsi" w:cs="Times New Roman"/>
          <w:b/>
          <w:bCs/>
        </w:rPr>
        <w:t xml:space="preserve"> sui BB.CC.”</w:t>
      </w:r>
      <w:r w:rsidRPr="000B573F">
        <w:rPr>
          <w:rFonts w:asciiTheme="majorHAnsi" w:eastAsiaTheme="minorHAnsi" w:hAnsiTheme="majorHAnsi" w:cs="Times New Roman"/>
        </w:rPr>
        <w:t xml:space="preserve">, promosso da </w:t>
      </w:r>
      <w:r w:rsidRPr="000B573F">
        <w:rPr>
          <w:rFonts w:asciiTheme="majorHAnsi" w:eastAsiaTheme="minorHAnsi" w:hAnsiTheme="majorHAnsi" w:cs="Times New Roman"/>
          <w:b/>
          <w:bCs/>
        </w:rPr>
        <w:t>Scudo Blu Italia ICORP ICOMOS</w:t>
      </w:r>
      <w:r w:rsidRPr="000B573F">
        <w:rPr>
          <w:rFonts w:asciiTheme="majorHAnsi" w:eastAsiaTheme="minorHAnsi" w:hAnsiTheme="majorHAnsi" w:cs="Times New Roman"/>
        </w:rPr>
        <w:t xml:space="preserve"> insieme alle associazioni fondatrici ICOM, AIB e ANAI. Dopo i saluti istituzionali, saranno presentati il piano straordinario del telerilevamento del Ministero </w:t>
      </w:r>
      <w:proofErr w:type="gramStart"/>
      <w:r w:rsidRPr="000B573F">
        <w:rPr>
          <w:rFonts w:asciiTheme="majorHAnsi" w:eastAsiaTheme="minorHAnsi" w:hAnsiTheme="majorHAnsi" w:cs="Times New Roman"/>
        </w:rPr>
        <w:t>della</w:t>
      </w:r>
      <w:proofErr w:type="gramEnd"/>
      <w:r w:rsidRPr="000B573F">
        <w:rPr>
          <w:rFonts w:asciiTheme="majorHAnsi" w:eastAsiaTheme="minorHAnsi" w:hAnsiTheme="majorHAnsi" w:cs="Times New Roman"/>
        </w:rPr>
        <w:t xml:space="preserve"> Cultura e il ruolo di </w:t>
      </w:r>
      <w:proofErr w:type="spellStart"/>
      <w:r w:rsidRPr="000B573F">
        <w:rPr>
          <w:rFonts w:asciiTheme="majorHAnsi" w:eastAsiaTheme="minorHAnsi" w:hAnsiTheme="majorHAnsi" w:cs="Times New Roman"/>
          <w:b/>
          <w:bCs/>
        </w:rPr>
        <w:t>Copernicus</w:t>
      </w:r>
      <w:proofErr w:type="spellEnd"/>
      <w:r w:rsidRPr="000B573F">
        <w:rPr>
          <w:rFonts w:asciiTheme="majorHAnsi" w:eastAsiaTheme="minorHAnsi" w:hAnsiTheme="majorHAnsi" w:cs="Times New Roman"/>
        </w:rPr>
        <w:t xml:space="preserve">, con l’intervento di </w:t>
      </w:r>
      <w:proofErr w:type="spellStart"/>
      <w:r w:rsidRPr="000B573F">
        <w:rPr>
          <w:rFonts w:asciiTheme="majorHAnsi" w:eastAsiaTheme="minorHAnsi" w:hAnsiTheme="majorHAnsi" w:cs="Times New Roman"/>
        </w:rPr>
        <w:t>Taramelli</w:t>
      </w:r>
      <w:proofErr w:type="spellEnd"/>
      <w:r w:rsidRPr="000B573F">
        <w:rPr>
          <w:rFonts w:asciiTheme="majorHAnsi" w:eastAsiaTheme="minorHAnsi" w:hAnsiTheme="majorHAnsi" w:cs="Times New Roman"/>
        </w:rPr>
        <w:t xml:space="preserve"> di ISPRA, quindi l’attività delle </w:t>
      </w:r>
      <w:proofErr w:type="spellStart"/>
      <w:r w:rsidRPr="000B573F">
        <w:rPr>
          <w:rFonts w:asciiTheme="majorHAnsi" w:eastAsiaTheme="minorHAnsi" w:hAnsiTheme="majorHAnsi" w:cs="Times New Roman"/>
          <w:b/>
          <w:bCs/>
        </w:rPr>
        <w:t>Entrusted</w:t>
      </w:r>
      <w:proofErr w:type="spellEnd"/>
      <w:r w:rsidRPr="000B573F">
        <w:rPr>
          <w:rFonts w:asciiTheme="majorHAnsi" w:eastAsiaTheme="minorHAnsi" w:hAnsiTheme="majorHAnsi" w:cs="Times New Roman"/>
          <w:b/>
          <w:bCs/>
        </w:rPr>
        <w:t xml:space="preserve"> </w:t>
      </w:r>
      <w:proofErr w:type="spellStart"/>
      <w:r w:rsidRPr="000B573F">
        <w:rPr>
          <w:rFonts w:asciiTheme="majorHAnsi" w:eastAsiaTheme="minorHAnsi" w:hAnsiTheme="majorHAnsi" w:cs="Times New Roman"/>
          <w:b/>
          <w:bCs/>
        </w:rPr>
        <w:t>Entities</w:t>
      </w:r>
      <w:proofErr w:type="spellEnd"/>
      <w:r w:rsidRPr="000B573F">
        <w:rPr>
          <w:rFonts w:asciiTheme="majorHAnsi" w:eastAsiaTheme="minorHAnsi" w:hAnsiTheme="majorHAnsi" w:cs="Times New Roman"/>
        </w:rPr>
        <w:t xml:space="preserve"> con Roberta Onori di </w:t>
      </w:r>
      <w:proofErr w:type="spellStart"/>
      <w:r w:rsidRPr="000B573F">
        <w:rPr>
          <w:rFonts w:asciiTheme="majorHAnsi" w:eastAsiaTheme="minorHAnsi" w:hAnsiTheme="majorHAnsi" w:cs="Times New Roman"/>
        </w:rPr>
        <w:t>SatCen</w:t>
      </w:r>
      <w:proofErr w:type="spellEnd"/>
      <w:r w:rsidRPr="000B573F">
        <w:rPr>
          <w:rFonts w:asciiTheme="majorHAnsi" w:eastAsiaTheme="minorHAnsi" w:hAnsiTheme="majorHAnsi" w:cs="Times New Roman"/>
        </w:rPr>
        <w:t xml:space="preserve"> e il </w:t>
      </w:r>
      <w:proofErr w:type="spellStart"/>
      <w:r w:rsidRPr="000B573F">
        <w:rPr>
          <w:rFonts w:asciiTheme="majorHAnsi" w:eastAsiaTheme="minorHAnsi" w:hAnsiTheme="majorHAnsi" w:cs="Times New Roman"/>
          <w:b/>
          <w:bCs/>
        </w:rPr>
        <w:t>Technological</w:t>
      </w:r>
      <w:proofErr w:type="spellEnd"/>
      <w:r w:rsidRPr="000B573F">
        <w:rPr>
          <w:rFonts w:asciiTheme="majorHAnsi" w:eastAsiaTheme="minorHAnsi" w:hAnsiTheme="majorHAnsi" w:cs="Times New Roman"/>
          <w:b/>
          <w:bCs/>
        </w:rPr>
        <w:t xml:space="preserve"> </w:t>
      </w:r>
      <w:proofErr w:type="spellStart"/>
      <w:r w:rsidRPr="000B573F">
        <w:rPr>
          <w:rFonts w:asciiTheme="majorHAnsi" w:eastAsiaTheme="minorHAnsi" w:hAnsiTheme="majorHAnsi" w:cs="Times New Roman"/>
          <w:b/>
          <w:bCs/>
        </w:rPr>
        <w:t>Hub</w:t>
      </w:r>
      <w:proofErr w:type="spellEnd"/>
      <w:r w:rsidRPr="000B573F">
        <w:rPr>
          <w:rFonts w:asciiTheme="majorHAnsi" w:eastAsiaTheme="minorHAnsi" w:hAnsiTheme="majorHAnsi" w:cs="Times New Roman"/>
          <w:b/>
          <w:bCs/>
        </w:rPr>
        <w:t xml:space="preserve"> di EUSPA</w:t>
      </w:r>
      <w:r w:rsidRPr="000B573F">
        <w:rPr>
          <w:rFonts w:asciiTheme="majorHAnsi" w:eastAsiaTheme="minorHAnsi" w:hAnsiTheme="majorHAnsi" w:cs="Times New Roman"/>
        </w:rPr>
        <w:t xml:space="preserve">, illustrato da Chiara </w:t>
      </w:r>
      <w:proofErr w:type="spellStart"/>
      <w:r w:rsidRPr="000B573F">
        <w:rPr>
          <w:rFonts w:asciiTheme="majorHAnsi" w:eastAsiaTheme="minorHAnsi" w:hAnsiTheme="majorHAnsi" w:cs="Times New Roman"/>
        </w:rPr>
        <w:t>Solimini</w:t>
      </w:r>
      <w:proofErr w:type="spellEnd"/>
      <w:r w:rsidRPr="000B573F">
        <w:rPr>
          <w:rFonts w:asciiTheme="majorHAnsi" w:eastAsiaTheme="minorHAnsi" w:hAnsiTheme="majorHAnsi" w:cs="Times New Roman"/>
        </w:rPr>
        <w:t xml:space="preserve">. La giornata si </w:t>
      </w:r>
      <w:proofErr w:type="gramStart"/>
      <w:r w:rsidRPr="000B573F">
        <w:rPr>
          <w:rFonts w:asciiTheme="majorHAnsi" w:eastAsiaTheme="minorHAnsi" w:hAnsiTheme="majorHAnsi" w:cs="Times New Roman"/>
        </w:rPr>
        <w:t>concluderà</w:t>
      </w:r>
      <w:proofErr w:type="gramEnd"/>
      <w:r w:rsidRPr="000B573F">
        <w:rPr>
          <w:rFonts w:asciiTheme="majorHAnsi" w:eastAsiaTheme="minorHAnsi" w:hAnsiTheme="majorHAnsi" w:cs="Times New Roman"/>
        </w:rPr>
        <w:t xml:space="preserve"> con le conclusioni e il confronto con il pubblico a cura di Daniele Spizzichino e Marica </w:t>
      </w:r>
      <w:proofErr w:type="spellStart"/>
      <w:r w:rsidRPr="000B573F">
        <w:rPr>
          <w:rFonts w:asciiTheme="majorHAnsi" w:eastAsiaTheme="minorHAnsi" w:hAnsiTheme="majorHAnsi" w:cs="Times New Roman"/>
        </w:rPr>
        <w:t>Mercalli</w:t>
      </w:r>
      <w:proofErr w:type="spellEnd"/>
      <w:r w:rsidRPr="000B573F">
        <w:rPr>
          <w:rFonts w:asciiTheme="majorHAnsi" w:eastAsiaTheme="minorHAnsi" w:hAnsiTheme="majorHAnsi" w:cs="Times New Roman"/>
        </w:rPr>
        <w:t>.</w:t>
      </w:r>
    </w:p>
    <w:p w14:paraId="1AD2F8E7" w14:textId="77777777" w:rsidR="0065749C" w:rsidRPr="000B573F" w:rsidRDefault="0065749C" w:rsidP="0065749C">
      <w:pPr>
        <w:spacing w:after="180"/>
        <w:rPr>
          <w:rFonts w:asciiTheme="majorHAnsi" w:eastAsiaTheme="minorHAnsi" w:hAnsiTheme="majorHAnsi" w:cs="Times New Roman"/>
        </w:rPr>
      </w:pPr>
      <w:r w:rsidRPr="000B573F">
        <w:rPr>
          <w:rFonts w:asciiTheme="majorHAnsi" w:eastAsiaTheme="minorHAnsi" w:hAnsiTheme="majorHAnsi" w:cs="Times New Roman"/>
        </w:rPr>
        <w:t xml:space="preserve">Il convegno intende così offrire non soltanto un quadro aggiornato dell’evoluzione normativa e delle politiche di tutela, ma soprattutto uno spazio di confronto tra </w:t>
      </w:r>
      <w:r w:rsidRPr="000B573F">
        <w:rPr>
          <w:rFonts w:asciiTheme="majorHAnsi" w:eastAsiaTheme="minorHAnsi" w:hAnsiTheme="majorHAnsi" w:cs="Times New Roman"/>
          <w:b/>
          <w:bCs/>
        </w:rPr>
        <w:t>diritto, istituzioni, professionisti della cultura, forze dell’ordine, mondo scientifico e nuove tecnologie</w:t>
      </w:r>
      <w:r w:rsidRPr="000B573F">
        <w:rPr>
          <w:rFonts w:asciiTheme="majorHAnsi" w:eastAsiaTheme="minorHAnsi" w:hAnsiTheme="majorHAnsi" w:cs="Times New Roman"/>
        </w:rPr>
        <w:t>, nella convinzione che la protezione del patrimonio culturale non possa più prescindere da una capacità condivisa di prevenire i rischi, intervenire nelle emergenze e costruire resilienza.</w:t>
      </w:r>
    </w:p>
    <w:p w14:paraId="2AA36A98" w14:textId="77777777" w:rsidR="0065749C" w:rsidRPr="000B573F" w:rsidRDefault="0065749C" w:rsidP="0065749C">
      <w:pPr>
        <w:spacing w:after="180"/>
        <w:rPr>
          <w:rFonts w:asciiTheme="majorHAnsi" w:eastAsiaTheme="minorHAnsi" w:hAnsiTheme="majorHAnsi" w:cs="Times New Roman"/>
        </w:rPr>
      </w:pPr>
      <w:r w:rsidRPr="000B573F">
        <w:rPr>
          <w:rFonts w:asciiTheme="majorHAnsi" w:eastAsiaTheme="minorHAnsi" w:hAnsiTheme="majorHAnsi" w:cs="Times New Roman"/>
          <w:b/>
          <w:bCs/>
        </w:rPr>
        <w:t>“Il patrimonio culturale nelle crisi contemporanee: rischi, protezione e resilienza”</w:t>
      </w:r>
      <w:r w:rsidRPr="000B573F">
        <w:rPr>
          <w:rFonts w:asciiTheme="majorHAnsi" w:eastAsiaTheme="minorHAnsi" w:hAnsiTheme="majorHAnsi" w:cs="Times New Roman"/>
        </w:rPr>
        <w:t xml:space="preserve"> è coordinato scientificamente da </w:t>
      </w:r>
      <w:r w:rsidRPr="000B573F">
        <w:rPr>
          <w:rFonts w:asciiTheme="majorHAnsi" w:eastAsiaTheme="minorHAnsi" w:hAnsiTheme="majorHAnsi" w:cs="Times New Roman"/>
          <w:b/>
          <w:bCs/>
        </w:rPr>
        <w:t>Francesca Fiorentini</w:t>
      </w:r>
      <w:r w:rsidRPr="000B573F">
        <w:rPr>
          <w:rFonts w:asciiTheme="majorHAnsi" w:eastAsiaTheme="minorHAnsi" w:hAnsiTheme="majorHAnsi" w:cs="Times New Roman"/>
        </w:rPr>
        <w:t xml:space="preserve">, coordinatrice di </w:t>
      </w:r>
      <w:proofErr w:type="spellStart"/>
      <w:proofErr w:type="gramStart"/>
      <w:r w:rsidRPr="000B573F">
        <w:rPr>
          <w:rFonts w:asciiTheme="majorHAnsi" w:eastAsiaTheme="minorHAnsi" w:hAnsiTheme="majorHAnsi" w:cs="Times New Roman"/>
        </w:rPr>
        <w:t>smaTs</w:t>
      </w:r>
      <w:proofErr w:type="spellEnd"/>
      <w:proofErr w:type="gramEnd"/>
      <w:r w:rsidRPr="000B573F">
        <w:rPr>
          <w:rFonts w:asciiTheme="majorHAnsi" w:eastAsiaTheme="minorHAnsi" w:hAnsiTheme="majorHAnsi" w:cs="Times New Roman"/>
        </w:rPr>
        <w:t xml:space="preserve">, e </w:t>
      </w:r>
      <w:r w:rsidRPr="000B573F">
        <w:rPr>
          <w:rFonts w:asciiTheme="majorHAnsi" w:eastAsiaTheme="minorHAnsi" w:hAnsiTheme="majorHAnsi" w:cs="Times New Roman"/>
          <w:b/>
          <w:bCs/>
        </w:rPr>
        <w:t>Grazia Tatò</w:t>
      </w:r>
      <w:r w:rsidRPr="000B573F">
        <w:rPr>
          <w:rFonts w:asciiTheme="majorHAnsi" w:eastAsiaTheme="minorHAnsi" w:hAnsiTheme="majorHAnsi" w:cs="Times New Roman"/>
        </w:rPr>
        <w:t xml:space="preserve"> per MAB FVG. Per </w:t>
      </w:r>
      <w:proofErr w:type="spellStart"/>
      <w:proofErr w:type="gramStart"/>
      <w:r w:rsidRPr="000B573F">
        <w:rPr>
          <w:rFonts w:asciiTheme="majorHAnsi" w:eastAsiaTheme="minorHAnsi" w:hAnsiTheme="majorHAnsi" w:cs="Times New Roman"/>
        </w:rPr>
        <w:t>smaTs</w:t>
      </w:r>
      <w:proofErr w:type="spellEnd"/>
      <w:proofErr w:type="gramEnd"/>
      <w:r w:rsidRPr="000B573F">
        <w:rPr>
          <w:rFonts w:asciiTheme="majorHAnsi" w:eastAsiaTheme="minorHAnsi" w:hAnsiTheme="majorHAnsi" w:cs="Times New Roman"/>
        </w:rPr>
        <w:t xml:space="preserve"> l’organizzazione è curata da </w:t>
      </w:r>
      <w:r w:rsidRPr="000B573F">
        <w:rPr>
          <w:rFonts w:asciiTheme="majorHAnsi" w:eastAsiaTheme="minorHAnsi" w:hAnsiTheme="majorHAnsi" w:cs="Times New Roman"/>
          <w:b/>
          <w:bCs/>
        </w:rPr>
        <w:t xml:space="preserve">Cristina </w:t>
      </w:r>
      <w:proofErr w:type="spellStart"/>
      <w:r w:rsidRPr="000B573F">
        <w:rPr>
          <w:rFonts w:asciiTheme="majorHAnsi" w:eastAsiaTheme="minorHAnsi" w:hAnsiTheme="majorHAnsi" w:cs="Times New Roman"/>
          <w:b/>
          <w:bCs/>
        </w:rPr>
        <w:t>Cocever</w:t>
      </w:r>
      <w:proofErr w:type="spellEnd"/>
      <w:r w:rsidRPr="000B573F">
        <w:rPr>
          <w:rFonts w:asciiTheme="majorHAnsi" w:eastAsiaTheme="minorHAnsi" w:hAnsiTheme="majorHAnsi" w:cs="Times New Roman"/>
          <w:b/>
          <w:bCs/>
        </w:rPr>
        <w:t xml:space="preserve"> ed Elisa Zilli</w:t>
      </w:r>
      <w:r w:rsidRPr="000B573F">
        <w:rPr>
          <w:rFonts w:asciiTheme="majorHAnsi" w:eastAsiaTheme="minorHAnsi" w:hAnsiTheme="majorHAnsi" w:cs="Times New Roman"/>
        </w:rPr>
        <w:t xml:space="preserve">, mentre per MAB FVG da </w:t>
      </w:r>
      <w:r w:rsidRPr="000B573F">
        <w:rPr>
          <w:rFonts w:asciiTheme="majorHAnsi" w:eastAsiaTheme="minorHAnsi" w:hAnsiTheme="majorHAnsi" w:cs="Times New Roman"/>
          <w:b/>
          <w:bCs/>
        </w:rPr>
        <w:t>Barbara Bigi, Martina Contessi e Paola Visentini</w:t>
      </w:r>
      <w:r w:rsidRPr="000B573F">
        <w:rPr>
          <w:rFonts w:asciiTheme="majorHAnsi" w:eastAsiaTheme="minorHAnsi" w:hAnsiTheme="majorHAnsi" w:cs="Times New Roman"/>
        </w:rPr>
        <w:t>.</w:t>
      </w:r>
    </w:p>
    <w:p w14:paraId="5A3D174B" w14:textId="2042F241" w:rsidR="0065749C" w:rsidRPr="000B573F" w:rsidRDefault="0065749C" w:rsidP="0065749C">
      <w:pPr>
        <w:spacing w:after="180"/>
        <w:rPr>
          <w:rFonts w:asciiTheme="majorHAnsi" w:eastAsiaTheme="minorHAnsi" w:hAnsiTheme="majorHAnsi" w:cs="Times New Roman"/>
        </w:rPr>
      </w:pPr>
      <w:r w:rsidRPr="000B573F">
        <w:rPr>
          <w:rFonts w:asciiTheme="majorHAnsi" w:eastAsiaTheme="minorHAnsi" w:hAnsiTheme="majorHAnsi" w:cs="Times New Roman"/>
        </w:rPr>
        <w:t xml:space="preserve">L’iniziativa si svolge con il patrocinio di </w:t>
      </w:r>
      <w:r w:rsidR="00456B30">
        <w:rPr>
          <w:rFonts w:asciiTheme="majorHAnsi" w:eastAsiaTheme="minorHAnsi" w:hAnsiTheme="majorHAnsi" w:cs="Times New Roman"/>
          <w:b/>
          <w:bCs/>
        </w:rPr>
        <w:t>ARTE Generali</w:t>
      </w:r>
      <w:r w:rsidRPr="000B573F">
        <w:rPr>
          <w:rFonts w:asciiTheme="majorHAnsi" w:eastAsiaTheme="minorHAnsi" w:hAnsiTheme="majorHAnsi" w:cs="Times New Roman"/>
          <w:b/>
          <w:bCs/>
        </w:rPr>
        <w:t>, Comune di Palmanova e Scudo Blu Italia</w:t>
      </w:r>
      <w:r w:rsidRPr="000B573F">
        <w:rPr>
          <w:rFonts w:asciiTheme="majorHAnsi" w:eastAsiaTheme="minorHAnsi" w:hAnsiTheme="majorHAnsi" w:cs="Times New Roman"/>
        </w:rPr>
        <w:t>.</w:t>
      </w:r>
    </w:p>
    <w:p w14:paraId="74B37C6C" w14:textId="77777777" w:rsidR="00740B6E" w:rsidRPr="000B573F" w:rsidRDefault="00740B6E">
      <w:pPr>
        <w:rPr>
          <w:rFonts w:asciiTheme="majorHAnsi" w:hAnsiTheme="majorHAnsi"/>
        </w:rPr>
      </w:pPr>
    </w:p>
    <w:bookmarkEnd w:id="0"/>
    <w:sectPr w:rsidR="00740B6E" w:rsidRPr="000B573F" w:rsidSect="003D39E4">
      <w:headerReference w:type="default" r:id="rId7"/>
      <w:footerReference w:type="default" r:id="rId8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D7C4D0" w14:textId="77777777" w:rsidR="000B573F" w:rsidRDefault="000B573F" w:rsidP="000B573F">
      <w:r>
        <w:separator/>
      </w:r>
    </w:p>
  </w:endnote>
  <w:endnote w:type="continuationSeparator" w:id="0">
    <w:p w14:paraId="699A5910" w14:textId="77777777" w:rsidR="000B573F" w:rsidRDefault="000B573F" w:rsidP="000B5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5EA5A1" w14:textId="4DD3D38F" w:rsidR="000B573F" w:rsidRDefault="000B573F">
    <w:pPr>
      <w:pStyle w:val="Pidipagina"/>
    </w:pPr>
    <w:r>
      <w:rPr>
        <w:noProof/>
      </w:rPr>
      <w:drawing>
        <wp:inline distT="0" distB="0" distL="0" distR="0" wp14:anchorId="5268014B" wp14:editId="45605678">
          <wp:extent cx="4432300" cy="1346200"/>
          <wp:effectExtent l="0" t="0" r="1270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hermata 2026-10-07 alle 10.33.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32300" cy="1346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EA9420" w14:textId="77777777" w:rsidR="000B573F" w:rsidRDefault="000B573F" w:rsidP="000B573F">
      <w:r>
        <w:separator/>
      </w:r>
    </w:p>
  </w:footnote>
  <w:footnote w:type="continuationSeparator" w:id="0">
    <w:p w14:paraId="7EA946E0" w14:textId="77777777" w:rsidR="000B573F" w:rsidRDefault="000B573F" w:rsidP="000B573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128F9E" w14:textId="2BC5985D" w:rsidR="000B573F" w:rsidRDefault="000B573F">
    <w:pPr>
      <w:pStyle w:val="Intestazione"/>
    </w:pPr>
    <w:r>
      <w:rPr>
        <w:noProof/>
      </w:rPr>
      <w:drawing>
        <wp:inline distT="0" distB="0" distL="0" distR="0" wp14:anchorId="5672FA21" wp14:editId="6CC1EF72">
          <wp:extent cx="6116320" cy="1297940"/>
          <wp:effectExtent l="0" t="0" r="508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hermata 2026-10-07 alle 10.32.29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12979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49C"/>
    <w:rsid w:val="000B573F"/>
    <w:rsid w:val="002643FA"/>
    <w:rsid w:val="003D39E4"/>
    <w:rsid w:val="00456B30"/>
    <w:rsid w:val="0065749C"/>
    <w:rsid w:val="00740B6E"/>
    <w:rsid w:val="0089724D"/>
    <w:rsid w:val="009E2D9D"/>
    <w:rsid w:val="00DF7166"/>
    <w:rsid w:val="00F55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052730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65749C"/>
    <w:pPr>
      <w:spacing w:before="100" w:beforeAutospacing="1" w:after="100" w:afterAutospacing="1"/>
    </w:pPr>
    <w:rPr>
      <w:rFonts w:ascii="Times New Roman" w:eastAsiaTheme="minorHAnsi" w:hAnsi="Times New Roman" w:cs="Times New Roman"/>
      <w:sz w:val="20"/>
      <w:szCs w:val="20"/>
    </w:rPr>
  </w:style>
  <w:style w:type="character" w:styleId="Collegamentoipertestuale">
    <w:name w:val="Hyperlink"/>
    <w:basedOn w:val="Caratterepredefinitoparagrafo"/>
    <w:uiPriority w:val="99"/>
    <w:semiHidden/>
    <w:unhideWhenUsed/>
    <w:rsid w:val="0065749C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B573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0B573F"/>
  </w:style>
  <w:style w:type="paragraph" w:styleId="Pidipagina">
    <w:name w:val="footer"/>
    <w:basedOn w:val="Normale"/>
    <w:link w:val="PidipaginaCarattere"/>
    <w:uiPriority w:val="99"/>
    <w:unhideWhenUsed/>
    <w:rsid w:val="000B573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0B573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573F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0B573F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65749C"/>
    <w:pPr>
      <w:spacing w:before="100" w:beforeAutospacing="1" w:after="100" w:afterAutospacing="1"/>
    </w:pPr>
    <w:rPr>
      <w:rFonts w:ascii="Times New Roman" w:eastAsiaTheme="minorHAnsi" w:hAnsi="Times New Roman" w:cs="Times New Roman"/>
      <w:sz w:val="20"/>
      <w:szCs w:val="20"/>
    </w:rPr>
  </w:style>
  <w:style w:type="character" w:styleId="Collegamentoipertestuale">
    <w:name w:val="Hyperlink"/>
    <w:basedOn w:val="Caratterepredefinitoparagrafo"/>
    <w:uiPriority w:val="99"/>
    <w:semiHidden/>
    <w:unhideWhenUsed/>
    <w:rsid w:val="0065749C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B573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0B573F"/>
  </w:style>
  <w:style w:type="paragraph" w:styleId="Pidipagina">
    <w:name w:val="footer"/>
    <w:basedOn w:val="Normale"/>
    <w:link w:val="PidipaginaCarattere"/>
    <w:uiPriority w:val="99"/>
    <w:unhideWhenUsed/>
    <w:rsid w:val="000B573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0B573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573F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0B573F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8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00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1052</Words>
  <Characters>5999</Characters>
  <Application>Microsoft Macintosh Word</Application>
  <DocSecurity>0</DocSecurity>
  <Lines>49</Lines>
  <Paragraphs>14</Paragraphs>
  <ScaleCrop>false</ScaleCrop>
  <Company>A.P.S. snc</Company>
  <LinksUpToDate>false</LinksUpToDate>
  <CharactersWithSpaces>7037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</dc:creator>
  <cp:keywords/>
  <dc:description/>
  <cp:lastModifiedBy>Segreteria</cp:lastModifiedBy>
  <cp:revision>5</cp:revision>
  <dcterms:created xsi:type="dcterms:W3CDTF">2026-10-14T14:16:00Z</dcterms:created>
  <dcterms:modified xsi:type="dcterms:W3CDTF">2026-10-21T08:13:00Z</dcterms:modified>
</cp:coreProperties>
</file>