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336" w:lineRule="auto"/>
        <w:jc w:val="righ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b w:val="1"/>
          <w:bCs w:val="1"/>
        </w:rPr>
        <w:br w:type="textWrapping"/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Keith Haring all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Ipercity!</w:t>
      </w:r>
    </w:p>
    <w:p>
      <w:pPr>
        <w:pStyle w:val="Corpo A"/>
        <w:spacing w:line="336" w:lineRule="auto"/>
        <w:jc w:val="righ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o A"/>
        <w:spacing w:line="336" w:lineRule="auto"/>
        <w:jc w:val="righ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A Padova, il Centro Commerciale Ipercity ospita </w:t>
      </w:r>
    </w:p>
    <w:p>
      <w:pPr>
        <w:pStyle w:val="Corpo A"/>
        <w:spacing w:line="336" w:lineRule="auto"/>
        <w:jc w:val="righ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62 opere originali di Keith Haring,</w:t>
      </w:r>
    </w:p>
    <w:p>
      <w:pPr>
        <w:pStyle w:val="Corpo A"/>
        <w:spacing w:line="336" w:lineRule="auto"/>
        <w:jc w:val="righ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per rendere omaggio alla carriera</w:t>
      </w:r>
    </w:p>
    <w:p>
      <w:pPr>
        <w:pStyle w:val="Corpo A"/>
        <w:spacing w:line="336" w:lineRule="auto"/>
        <w:jc w:val="righ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di uno degli artisti pi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famosi della Pop Art americana</w:t>
      </w:r>
    </w:p>
    <w:p>
      <w:pPr>
        <w:pStyle w:val="Corpo A"/>
        <w:spacing w:line="336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o A"/>
        <w:spacing w:line="336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Simply Haring </w:t>
      </w:r>
    </w:p>
    <w:p>
      <w:pPr>
        <w:pStyle w:val="Corpo A"/>
        <w:spacing w:line="336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Centro Commerciale Ipercity, Albignasego (PD)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SES Italy</w:t>
      </w:r>
      <w:r>
        <w:rPr>
          <w:rFonts w:ascii="Helvetica" w:cs="Helvetica" w:hAnsi="Helvetica" w:eastAsia="Helvetica"/>
          <w:b w:val="1"/>
          <w:bCs w:val="1"/>
          <w:sz w:val="24"/>
          <w:szCs w:val="24"/>
        </w:rPr>
        <w:br w:type="textWrapping"/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22 gennaio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11 febbraio 2024 </w:t>
      </w:r>
    </w:p>
    <w:p>
      <w:pPr>
        <w:pStyle w:val="Corpo A"/>
        <w:spacing w:line="336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Dal 22 gennaio all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11 febbraio il Centro Commerciale Ipercity, ad Albignasego (PD), ospita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sz w:val="24"/>
          <w:szCs w:val="24"/>
          <w:rtl w:val="0"/>
          <w:lang w:val="it-IT"/>
        </w:rPr>
        <w:t>Simply Haring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”</w:t>
      </w:r>
      <w:r>
        <w:rPr>
          <w:rFonts w:ascii="Helvetica" w:hAnsi="Helvetica"/>
          <w:sz w:val="24"/>
          <w:szCs w:val="24"/>
          <w:rtl w:val="0"/>
          <w:lang w:val="it-IT"/>
        </w:rPr>
        <w:t>, una mostra con 62 opere originali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iconico artista americano Keith Haring. </w:t>
      </w: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Un evento culturale di importanza nazionale, che rende omaggio alla modernit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di un artista annoverato non solo tra i pi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noti esponenti della Pop Art degli anni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80, ma anche tra i padri della grafica e della comunicazione contemporanea. </w:t>
      </w: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rtl w:val="0"/>
          <w:lang w:val="it-IT"/>
        </w:rPr>
        <w:t>Trasgressivo, anticonformista e libero, Haring era un artista unico e quella di Simply Haring sar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à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 xml:space="preserve"> u</w:t>
      </w:r>
      <w:r>
        <w:rPr>
          <w:rFonts w:ascii="Helvetica" w:hAnsi="Helvetica"/>
          <w:sz w:val="24"/>
          <w:szCs w:val="24"/>
          <w:rtl w:val="0"/>
          <w:lang w:val="it-IT"/>
        </w:rPr>
        <w:t>n</w:t>
      </w:r>
      <w:r>
        <w:rPr>
          <w:rFonts w:ascii="Helvetica" w:hAnsi="Helvetica" w:hint="default"/>
          <w:sz w:val="24"/>
          <w:szCs w:val="24"/>
          <w:rtl w:val="1"/>
          <w:lang w:val="ar-SA" w:bidi="ar-SA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occasione preziosa per approfondirne le tematiche pi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sz w:val="24"/>
          <w:szCs w:val="24"/>
          <w:rtl w:val="0"/>
          <w:lang w:val="it-IT"/>
        </w:rPr>
        <w:t>forti, attuali oggi come allora: la lotta politica, i conflitti sociali, la meccanica della comunicazione,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alienazione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individuo.</w:t>
      </w: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 xml:space="preserve">La mostra, allestita negli spazi di Ipercity e accessibile gratuitamente negli orari di apertura del 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>C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>entro, crea inoltre un cortocircuito tra lo spazio non convenzionale e le opere che probabilmente avrebbe divertito Haring, da sempre lontano dagli eventi ufficiali del mondo dell</w:t>
      </w:r>
      <w:r>
        <w:rPr>
          <w:rFonts w:ascii="Helvetica" w:hAnsi="Helvetica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>arte e attratto dai linguaggi alternativi, incluso quello della pubblicit</w:t>
      </w:r>
      <w:r>
        <w:rPr>
          <w:rFonts w:ascii="Helvetica" w:hAnsi="Helvetica" w:hint="default"/>
          <w:sz w:val="24"/>
          <w:szCs w:val="24"/>
          <w:shd w:val="clear" w:color="auto" w:fill="ffffff"/>
          <w:rtl w:val="0"/>
          <w:lang w:val="it-IT"/>
        </w:rPr>
        <w:t>à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it-IT"/>
        </w:rPr>
        <w:t>L'idea di Haring era proprio quella di usare la sua arte per dialogare con un pubblico pi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" w:hAnsi="Helvetica"/>
          <w:sz w:val="24"/>
          <w:szCs w:val="24"/>
          <w:rtl w:val="0"/>
          <w:lang w:val="it-IT"/>
        </w:rPr>
        <w:t>ampio, portando le sue opere al di fuori degli spazi tradizionali, prendendo spunto in questo anche da graffiti.</w:t>
      </w: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Corpo A"/>
        <w:spacing w:line="336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allestimento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stato realizzato anche tenendo conto di alcuni valori cardine nello sviluppo degli eventi di Ipercity, in particolare la sostenibilit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sociale: la parte informativa delle opere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realizzata anche nel linguaggio braille, per garantire la partecipazione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>delle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persone ipovedenti, come </w:t>
      </w:r>
      <w:bookmarkStart w:name="_Hlk155956677" w:id="0"/>
      <w:r>
        <w:rPr>
          <w:rFonts w:ascii="Helvetica" w:hAnsi="Helvetica"/>
          <w:sz w:val="24"/>
          <w:szCs w:val="24"/>
          <w:rtl w:val="0"/>
          <w:lang w:val="it-IT"/>
        </w:rPr>
        <w:t>l</w:t>
      </w:r>
      <w:r>
        <w:rPr>
          <w:rFonts w:ascii="Helvetica" w:hAnsi="Helvetica" w:hint="default"/>
          <w:sz w:val="24"/>
          <w:szCs w:val="24"/>
          <w:rtl w:val="1"/>
          <w:lang w:val="ar-SA" w:bidi="ar-SA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Unione Italiana Ciechi e Ipovedenti della sezione di Padova</w:t>
      </w:r>
      <w:bookmarkEnd w:id="0"/>
      <w:r>
        <w:rPr>
          <w:rFonts w:ascii="Helvetica" w:hAnsi="Helvetica"/>
          <w:sz w:val="24"/>
          <w:szCs w:val="24"/>
          <w:rtl w:val="0"/>
          <w:lang w:val="it-IT"/>
        </w:rPr>
        <w:t>. Lo scopo educativo si esprime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>altres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ì </w:t>
      </w:r>
      <w:r>
        <w:rPr>
          <w:rFonts w:ascii="Helvetica" w:hAnsi="Helvetica"/>
          <w:sz w:val="24"/>
          <w:szCs w:val="24"/>
          <w:rtl w:val="0"/>
          <w:lang w:val="it-IT"/>
        </w:rPr>
        <w:t>con il coinvolgimento delle scuole del territorio, dalle elementari alle superiori, attraverso dei tour guidati e personalizzati per approfondire la conoscenza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artista.</w:t>
      </w:r>
    </w:p>
    <w:p>
      <w:pPr>
        <w:pStyle w:val="Di default A"/>
        <w:spacing w:before="0" w:line="336" w:lineRule="auto"/>
        <w:jc w:val="both"/>
        <w:rPr>
          <w:rFonts w:ascii="Helvetica" w:cs="Helvetica" w:hAnsi="Helvetica" w:eastAsia="Helvetic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Come ulteriore servizio, all</w:t>
      </w:r>
      <w:r>
        <w:rPr>
          <w:rFonts w:ascii="Helvetica" w:hAnsi="Helvetica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ingresso i visitatori potranno accedere al servizio delle audioguide, o utilizzare i QR-Code a fianco delle opere. </w:t>
      </w:r>
    </w:p>
    <w:p>
      <w:pPr>
        <w:pStyle w:val="Di default A"/>
        <w:spacing w:before="0" w:line="336" w:lineRule="auto"/>
        <w:jc w:val="both"/>
        <w:rPr>
          <w:rFonts w:ascii="Helvetica" w:cs="Helvetica" w:hAnsi="Helvetica" w:eastAsia="Helvetic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spacing w:before="0" w:after="240" w:line="336" w:lineRule="auto"/>
        <w:jc w:val="both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Luca Rossi, Amministratore Delegato di Ses Italy, dichiara: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shd w:val="clear" w:color="auto" w:fill="ffffff"/>
          <w:rtl w:val="0"/>
          <w:lang w:val="it-IT"/>
        </w:rPr>
        <w:t>Continua il percorso di Ipercity nell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arte contemporanea; dopo le mostre dedicate alla street art, da Carol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ì </w:t>
      </w:r>
      <w:r>
        <w:rPr>
          <w:rFonts w:ascii="Helvetica" w:hAnsi="Helvetica"/>
          <w:shd w:val="clear" w:color="auto" w:fill="ffffff"/>
          <w:rtl w:val="0"/>
          <w:lang w:val="it-IT"/>
        </w:rPr>
        <w:t>Blanco a TVBoy, a Romero Britto e Mr Savethewall, ospitiamo la mostra definitiva di Keith Haring, uno dei pi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ù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iconici e riconoscibili artisti contemporanei, favorendo una esperienza unica, anche didattica;  ancora una volta, dimostriamo che i Centri Commerciali non sono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shd w:val="clear" w:color="auto" w:fill="ffffff"/>
          <w:rtl w:val="0"/>
          <w:lang w:val="it-IT"/>
        </w:rPr>
        <w:t>non luoghi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, ma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shd w:val="clear" w:color="auto" w:fill="ffffff"/>
          <w:rtl w:val="0"/>
          <w:lang w:val="it-IT"/>
        </w:rPr>
        <w:t>spazi pulsanti di vita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shd w:val="clear" w:color="auto" w:fill="ffffff"/>
          <w:rtl w:val="0"/>
          <w:lang w:val="it-IT"/>
        </w:rPr>
        <w:t>, come dice il payoff di SES- Spar European Shopping Centers, di cui siamo la filiale italiana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”</w:t>
      </w:r>
    </w:p>
    <w:p>
      <w:pPr>
        <w:pStyle w:val="Di default A"/>
        <w:spacing w:before="0" w:line="336" w:lineRule="auto"/>
        <w:jc w:val="both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>"Abbiamo subito riconosciuto il potenziale culturale di questa iniziativa", spiega Vincenzo Gottardo, Vicepresidente della Provincia di Padova. "Se c'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un artista che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>ormai entrato nell'immaginario collettivo e che i pi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ù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giovani riconoscono,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>proprio Haring, con i suoi personaggi che attraversano e compongono un mondo caotico e vitale. Per questa ragione, non ci siamo limitati a concedere il patrocinio, ma abbiamo invitato attivamente le scuole superiori a considerare questa mostra come un'opportunit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didattica. Abbiamo scritto a oltre venti istituti e contiamo gi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che il giorno dell'inaugurazione diversi studenti, sia di Albignasego che di Padova e dei dintorni, visiteranno l'esposizione".</w:t>
      </w:r>
      <w:r>
        <w:rPr>
          <w:rFonts w:ascii="Helvetica" w:cs="Helvetica" w:hAnsi="Helvetica" w:eastAsia="Helvetica"/>
          <w:shd w:val="clear" w:color="auto" w:fill="ffffff"/>
        </w:rPr>
        <w:br w:type="textWrapping"/>
        <w:br w:type="textWrapping"/>
      </w:r>
      <w:r>
        <w:rPr>
          <w:rFonts w:ascii="Helvetica" w:hAnsi="Helvetica"/>
          <w:shd w:val="clear" w:color="auto" w:fill="ffffff"/>
          <w:rtl w:val="0"/>
          <w:lang w:val="it-IT"/>
        </w:rPr>
        <w:t>La carriera di Haring si dipana in poco pi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ù </w:t>
      </w:r>
      <w:r>
        <w:rPr>
          <w:rFonts w:ascii="Helvetica" w:hAnsi="Helvetica"/>
          <w:shd w:val="clear" w:color="auto" w:fill="ffffff"/>
          <w:rtl w:val="0"/>
          <w:lang w:val="it-IT"/>
        </w:rPr>
        <w:t xml:space="preserve">di un decennio: nel 1978 arriva a New York e plasma la sua iconografia entrando in contatto sia con gli artisti di strada - i graffitisti della Grande Mela, tra cui Jean Michel Basquiat - sia con le icone della Pop Art - primo tra tutti Andy Warhol. Nel 1990 la sua folgore 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shd w:val="clear" w:color="auto" w:fill="ffffff"/>
          <w:rtl w:val="0"/>
          <w:lang w:val="it-IT"/>
        </w:rPr>
        <w:t>gi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hd w:val="clear" w:color="auto" w:fill="ffffff"/>
          <w:rtl w:val="0"/>
          <w:lang w:val="it-IT"/>
        </w:rPr>
        <w:t>esaurita, spenta anzitempo dall</w:t>
      </w:r>
      <w:r>
        <w:rPr>
          <w:rFonts w:ascii="Helvetica" w:hAnsi="Helvetica" w:hint="default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shd w:val="clear" w:color="auto" w:fill="ffffff"/>
          <w:rtl w:val="0"/>
          <w:lang w:val="it-IT"/>
        </w:rPr>
        <w:t>AIDS.</w:t>
      </w:r>
    </w:p>
    <w:p>
      <w:pPr>
        <w:pStyle w:val="Di default A"/>
        <w:spacing w:before="0" w:line="336" w:lineRule="auto"/>
        <w:jc w:val="both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 A"/>
        <w:spacing w:before="0" w:line="336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shd w:val="clear" w:color="auto" w:fill="ffffff"/>
          <w:rtl w:val="0"/>
          <w:lang w:val="it-IT"/>
        </w:rPr>
        <w:t xml:space="preserve">La mostra, organizzata da Ipercity e ELV- Culture of Innovation e curata da </w:t>
      </w:r>
      <w:r>
        <w:rPr>
          <w:rFonts w:ascii="Helvetica" w:hAnsi="Helvetica"/>
          <w:rtl w:val="0"/>
          <w:lang w:val="it-IT"/>
        </w:rPr>
        <w:t xml:space="preserve">Luca Marchionni e Andrea Salvalaggio, ha il patrocinio della Provincia di Padova e del Comune di Albignasego. </w:t>
      </w:r>
    </w:p>
    <w:p>
      <w:pPr>
        <w:pStyle w:val="Di default A"/>
        <w:spacing w:before="0" w:line="336" w:lineRule="auto"/>
        <w:jc w:val="both"/>
        <w:rPr>
          <w:rFonts w:ascii="Helvetica" w:cs="Helvetica" w:hAnsi="Helvetica" w:eastAsia="Helvetica"/>
        </w:rPr>
      </w:pPr>
    </w:p>
    <w:p>
      <w:pPr>
        <w:pStyle w:val="Di default A"/>
        <w:spacing w:before="0" w:line="33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Per informazioni </w:t>
      </w:r>
      <w:r>
        <w:rPr>
          <w:rStyle w:val="Hyperlink.0"/>
          <w:rFonts w:ascii="Helvetica" w:cs="Helvetica" w:hAnsi="Helvetica" w:eastAsia="Helvetica"/>
        </w:rPr>
        <w:fldChar w:fldCharType="begin" w:fldLock="0"/>
      </w:r>
      <w:r>
        <w:rPr>
          <w:rStyle w:val="Hyperlink.0"/>
          <w:rFonts w:ascii="Helvetica" w:cs="Helvetica" w:hAnsi="Helvetica" w:eastAsia="Helvetica"/>
        </w:rPr>
        <w:instrText xml:space="preserve"> HYPERLINK "http://www.ipercity.it"</w:instrText>
      </w:r>
      <w:r>
        <w:rPr>
          <w:rStyle w:val="Hyperlink.0"/>
          <w:rFonts w:ascii="Helvetica" w:cs="Helvetica" w:hAnsi="Helvetica" w:eastAsia="Helvetica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www.ipercity.it</w:t>
      </w:r>
      <w:r>
        <w:rPr>
          <w:rFonts w:ascii="Helvetica" w:cs="Helvetica" w:hAnsi="Helvetica" w:eastAsia="Helvetica"/>
        </w:rPr>
        <w:fldChar w:fldCharType="end" w:fldLock="0"/>
      </w:r>
    </w:p>
    <w:p>
      <w:pPr>
        <w:pStyle w:val="Di default A"/>
        <w:spacing w:before="0" w:line="336" w:lineRule="auto"/>
        <w:ind w:left="720" w:hanging="720"/>
        <w:jc w:val="both"/>
        <w:rPr>
          <w:rStyle w:val="Nessuno"/>
          <w:rFonts w:ascii="Times Roman" w:cs="Times Roman" w:hAnsi="Times Roman" w:eastAsia="Times Roman"/>
        </w:rPr>
      </w:pPr>
    </w:p>
    <w:p>
      <w:pPr>
        <w:pStyle w:val="Di default A"/>
        <w:spacing w:before="0" w:line="336" w:lineRule="auto"/>
        <w:ind w:left="720" w:hanging="720"/>
        <w:jc w:val="both"/>
      </w:pPr>
      <w:r>
        <w:rPr>
          <w:rStyle w:val="Nessuno"/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