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46878" w14:textId="45E68A2A" w:rsidR="00940D19" w:rsidRPr="000F5724" w:rsidRDefault="00940D19" w:rsidP="00940D19">
      <w:pPr>
        <w:rPr>
          <w:b/>
          <w:bCs/>
        </w:rPr>
      </w:pPr>
      <w:r w:rsidRPr="000F5724">
        <w:rPr>
          <w:b/>
          <w:bCs/>
        </w:rPr>
        <w:t xml:space="preserve">José Carlos Martinat. </w:t>
      </w:r>
      <w:proofErr w:type="spellStart"/>
      <w:r w:rsidRPr="000F5724">
        <w:rPr>
          <w:b/>
          <w:bCs/>
        </w:rPr>
        <w:t>Ruinophilia</w:t>
      </w:r>
      <w:proofErr w:type="spellEnd"/>
    </w:p>
    <w:p w14:paraId="0019D0B1" w14:textId="11015D3C" w:rsidR="00940D19" w:rsidRDefault="00940D19" w:rsidP="00357E0C">
      <w:r>
        <w:t xml:space="preserve">SECCI è lieta di annunciare </w:t>
      </w:r>
      <w:proofErr w:type="spellStart"/>
      <w:r w:rsidRPr="00357E0C">
        <w:rPr>
          <w:b/>
          <w:bCs/>
          <w:i/>
          <w:iCs/>
        </w:rPr>
        <w:t>Ruinophilia</w:t>
      </w:r>
      <w:proofErr w:type="spellEnd"/>
      <w:r>
        <w:t xml:space="preserve">, prima personale italiana di </w:t>
      </w:r>
      <w:r w:rsidR="00357E0C" w:rsidRPr="00357E0C">
        <w:rPr>
          <w:b/>
          <w:bCs/>
        </w:rPr>
        <w:t>José Carlos Martinat</w:t>
      </w:r>
      <w:r w:rsidR="00357E0C">
        <w:t xml:space="preserve"> che inaugura </w:t>
      </w:r>
      <w:r w:rsidR="00CA263E">
        <w:rPr>
          <w:b/>
          <w:bCs/>
        </w:rPr>
        <w:t>giovedì 26</w:t>
      </w:r>
      <w:r w:rsidR="00357E0C" w:rsidRPr="00357E0C">
        <w:rPr>
          <w:b/>
          <w:bCs/>
        </w:rPr>
        <w:t xml:space="preserve"> febbraio</w:t>
      </w:r>
      <w:r w:rsidR="00357E0C">
        <w:t xml:space="preserve"> </w:t>
      </w:r>
      <w:r w:rsidR="002F4AA1">
        <w:t xml:space="preserve">dalle 18 alle 21 </w:t>
      </w:r>
      <w:r w:rsidR="00357E0C">
        <w:t xml:space="preserve">nella sede milanese di via Olmetto. La mostra rappresenta il terzo degli appuntamenti del progetto </w:t>
      </w:r>
      <w:r w:rsidR="00357E0C" w:rsidRPr="00357E0C">
        <w:rPr>
          <w:b/>
          <w:bCs/>
        </w:rPr>
        <w:t>Biennale NOVO</w:t>
      </w:r>
      <w:r w:rsidR="00357E0C">
        <w:t xml:space="preserve">, ciclo espositivo curato da </w:t>
      </w:r>
      <w:r w:rsidR="00357E0C" w:rsidRPr="00357E0C">
        <w:rPr>
          <w:b/>
          <w:bCs/>
        </w:rPr>
        <w:t>Marco Scotini</w:t>
      </w:r>
      <w:r w:rsidR="00357E0C">
        <w:t xml:space="preserve"> che, </w:t>
      </w:r>
      <w:r w:rsidR="001F2BA9">
        <w:t>avviato lo scorso</w:t>
      </w:r>
      <w:r w:rsidR="00357E0C">
        <w:t xml:space="preserve"> anno, ha ospitato </w:t>
      </w:r>
      <w:r w:rsidR="00CA263E">
        <w:t xml:space="preserve">mostre personali di </w:t>
      </w:r>
      <w:r w:rsidR="00357E0C">
        <w:t>Doruntina Kastrati e Omar Mismar.</w:t>
      </w:r>
    </w:p>
    <w:p w14:paraId="3A1E2BE9" w14:textId="4CF6F48C" w:rsidR="00357E0C" w:rsidRDefault="00357E0C" w:rsidP="00940D19">
      <w:r>
        <w:t>La pratica</w:t>
      </w:r>
      <w:r w:rsidR="00940D19" w:rsidRPr="00940D19">
        <w:t xml:space="preserve"> </w:t>
      </w:r>
      <w:r>
        <w:t xml:space="preserve">di </w:t>
      </w:r>
      <w:r w:rsidR="002F4AA1" w:rsidRPr="00357E0C">
        <w:rPr>
          <w:b/>
          <w:bCs/>
        </w:rPr>
        <w:t>José Carlos Martinat</w:t>
      </w:r>
      <w:r w:rsidR="002F4AA1">
        <w:t xml:space="preserve"> (</w:t>
      </w:r>
      <w:r w:rsidR="002F4AA1" w:rsidRPr="00357E0C">
        <w:t>Lima</w:t>
      </w:r>
      <w:r w:rsidR="002F4AA1">
        <w:t>,</w:t>
      </w:r>
      <w:r w:rsidR="002F4AA1" w:rsidRPr="00357E0C">
        <w:t xml:space="preserve"> Perù</w:t>
      </w:r>
      <w:r w:rsidR="002F4AA1">
        <w:t>,</w:t>
      </w:r>
      <w:r w:rsidR="002F4AA1" w:rsidRPr="00357E0C">
        <w:t xml:space="preserve"> 1974</w:t>
      </w:r>
      <w:r w:rsidR="002F4AA1">
        <w:t xml:space="preserve">) </w:t>
      </w:r>
      <w:r w:rsidR="00940D19" w:rsidRPr="00940D19">
        <w:t xml:space="preserve">si articola intorno al concetto di </w:t>
      </w:r>
      <w:r w:rsidR="00940D19" w:rsidRPr="00940D19">
        <w:rPr>
          <w:i/>
          <w:iCs/>
        </w:rPr>
        <w:t>ruina</w:t>
      </w:r>
      <w:r w:rsidR="00940D19" w:rsidRPr="00940D19">
        <w:t xml:space="preserve">, intesa nella sua doppia accezione. Da un lato, la rovina come </w:t>
      </w:r>
      <w:r w:rsidR="00E33DA2">
        <w:t>rudere</w:t>
      </w:r>
      <w:r w:rsidR="00940D19" w:rsidRPr="00940D19">
        <w:t xml:space="preserve"> storico, come resto archeologico che rimanda tanto alle stratificazioni </w:t>
      </w:r>
      <w:proofErr w:type="spellStart"/>
      <w:proofErr w:type="gramStart"/>
      <w:r w:rsidR="00940D19" w:rsidRPr="00940D19">
        <w:t>pre</w:t>
      </w:r>
      <w:proofErr w:type="spellEnd"/>
      <w:r w:rsidR="00940D19" w:rsidRPr="00940D19">
        <w:t>-colombiane</w:t>
      </w:r>
      <w:proofErr w:type="gramEnd"/>
      <w:r w:rsidR="00940D19" w:rsidRPr="00940D19">
        <w:t xml:space="preserve"> quanto alle macerie contemporanee della modernità politica. Dall’altro, la rovina come </w:t>
      </w:r>
      <w:proofErr w:type="spellStart"/>
      <w:r w:rsidR="00940D19" w:rsidRPr="00940D19">
        <w:rPr>
          <w:i/>
          <w:iCs/>
        </w:rPr>
        <w:t>ruindad</w:t>
      </w:r>
      <w:proofErr w:type="spellEnd"/>
      <w:r w:rsidR="00940D19" w:rsidRPr="00940D19">
        <w:t>, come decadimento morale, degradazione etica, corruzione sistemica.</w:t>
      </w:r>
      <w:r>
        <w:t xml:space="preserve"> </w:t>
      </w:r>
      <w:proofErr w:type="spellStart"/>
      <w:r w:rsidRPr="00357E0C">
        <w:rPr>
          <w:i/>
          <w:iCs/>
        </w:rPr>
        <w:t>Ruinophilia</w:t>
      </w:r>
      <w:proofErr w:type="spellEnd"/>
      <w:r w:rsidRPr="00940D19">
        <w:t xml:space="preserve"> si inserisce</w:t>
      </w:r>
      <w:r>
        <w:t xml:space="preserve"> quindi</w:t>
      </w:r>
      <w:r w:rsidRPr="00940D19">
        <w:t xml:space="preserve"> in una ricerca più ampia che indaga i processi di cattura del potere politico da parte di interessi privati, la violenza istituzionale normalizzata e l’erosione delle strutture democratiche in America Latina. Tuttavia, il contesto peruviano non è assunto come caso isolato, bensì come paradigma</w:t>
      </w:r>
      <w:r>
        <w:t>: i</w:t>
      </w:r>
      <w:r w:rsidRPr="00940D19">
        <w:t>l progetto risuona con una condizione globale in cui i cicli di crisi, corruzione e polarizzazione si ripetono come sintomi di un sistema che opera al di sopra dei governi eletti, svuotandone progressivamente l’autorità.</w:t>
      </w:r>
      <w:r>
        <w:t xml:space="preserve"> In un’epoca</w:t>
      </w:r>
      <w:r w:rsidR="002F4AA1">
        <w:t xml:space="preserve"> </w:t>
      </w:r>
      <w:r>
        <w:t xml:space="preserve">di </w:t>
      </w:r>
      <w:r w:rsidRPr="00357E0C">
        <w:t>instabilità istituzionale, conflitti di legittimità e un crescente senso di scollamento tra rappresentanza politica e società civile</w:t>
      </w:r>
      <w:r>
        <w:t>, la mostra</w:t>
      </w:r>
      <w:r w:rsidRPr="00357E0C">
        <w:t xml:space="preserve"> propone una riflessione sulle forme contemporanee del potere, sulle sue architetture di controllo</w:t>
      </w:r>
      <w:r w:rsidR="00CA263E">
        <w:t xml:space="preserve"> e </w:t>
      </w:r>
      <w:r w:rsidR="00CA263E" w:rsidRPr="00357E0C">
        <w:t>sui suoi resti materiali</w:t>
      </w:r>
      <w:r w:rsidR="00CA263E">
        <w:t>.</w:t>
      </w:r>
    </w:p>
    <w:p w14:paraId="3C1256ED" w14:textId="3137148E" w:rsidR="00E90E19" w:rsidRDefault="00357E0C" w:rsidP="00204F1F">
      <w:r>
        <w:t>A partire da</w:t>
      </w:r>
      <w:r w:rsidRPr="00940D19">
        <w:t xml:space="preserve"> elezioni presidenziali peruviane del 2021, Martinat</w:t>
      </w:r>
      <w:r>
        <w:t xml:space="preserve"> </w:t>
      </w:r>
      <w:r w:rsidRPr="00940D19">
        <w:t>sviluppa un gesto di estrazione e traslazione</w:t>
      </w:r>
      <w:r>
        <w:t xml:space="preserve"> </w:t>
      </w:r>
      <w:r w:rsidR="00DF2B17" w:rsidRPr="00940D19">
        <w:t>—</w:t>
      </w:r>
      <w:r w:rsidR="00DF2B17">
        <w:t xml:space="preserve"> le </w:t>
      </w:r>
      <w:proofErr w:type="spellStart"/>
      <w:r w:rsidR="00DF2B17">
        <w:rPr>
          <w:b/>
          <w:bCs/>
          <w:i/>
          <w:iCs/>
        </w:rPr>
        <w:t>wall</w:t>
      </w:r>
      <w:proofErr w:type="spellEnd"/>
      <w:r w:rsidR="00DF2B17">
        <w:rPr>
          <w:b/>
          <w:bCs/>
          <w:i/>
          <w:iCs/>
        </w:rPr>
        <w:t xml:space="preserve"> </w:t>
      </w:r>
      <w:proofErr w:type="spellStart"/>
      <w:r w:rsidR="00DF2B17">
        <w:rPr>
          <w:b/>
          <w:bCs/>
          <w:i/>
          <w:iCs/>
        </w:rPr>
        <w:t>extractions</w:t>
      </w:r>
      <w:proofErr w:type="spellEnd"/>
      <w:r w:rsidR="00DF2B17">
        <w:rPr>
          <w:b/>
          <w:bCs/>
          <w:i/>
          <w:iCs/>
        </w:rPr>
        <w:t xml:space="preserve"> </w:t>
      </w:r>
      <w:r w:rsidR="00DF2B17" w:rsidRPr="00940D19">
        <w:t>—</w:t>
      </w:r>
      <w:r w:rsidR="00DF2B17">
        <w:t xml:space="preserve"> </w:t>
      </w:r>
      <w:r>
        <w:t xml:space="preserve">operato sui </w:t>
      </w:r>
      <w:r w:rsidRPr="00940D19">
        <w:t>muri reali</w:t>
      </w:r>
      <w:r w:rsidR="00204F1F">
        <w:t xml:space="preserve"> di Perù e Venezuela</w:t>
      </w:r>
      <w:r w:rsidRPr="00940D19">
        <w:t xml:space="preserve">, </w:t>
      </w:r>
      <w:r w:rsidR="00204F1F">
        <w:t xml:space="preserve">lì dove </w:t>
      </w:r>
      <w:r>
        <w:t>non so</w:t>
      </w:r>
      <w:r w:rsidR="00204F1F">
        <w:t>no so</w:t>
      </w:r>
      <w:r>
        <w:t>lo elementi strutturali</w:t>
      </w:r>
      <w:r w:rsidR="00204F1F">
        <w:t xml:space="preserve">, ma anzi </w:t>
      </w:r>
      <w:r w:rsidR="00204F1F" w:rsidRPr="00204F1F">
        <w:t>mezz</w:t>
      </w:r>
      <w:r w:rsidR="00204F1F">
        <w:t>i</w:t>
      </w:r>
      <w:r w:rsidR="00204F1F" w:rsidRPr="00204F1F">
        <w:t xml:space="preserve"> dell’espressione popolare</w:t>
      </w:r>
      <w:r w:rsidR="00E649DE">
        <w:t xml:space="preserve">, </w:t>
      </w:r>
      <w:r>
        <w:t>schermi di propaganda</w:t>
      </w:r>
      <w:r w:rsidR="00E649DE">
        <w:t xml:space="preserve"> o </w:t>
      </w:r>
      <w:r w:rsidR="00E649DE" w:rsidRPr="00940D19">
        <w:t>residui materiali</w:t>
      </w:r>
      <w:r w:rsidR="00E649DE">
        <w:t xml:space="preserve"> dell’attuale stato di emergenza. È il caso di un logo della Croce Rossa peruviana estratto da uno stabile in abbandono, che ricorda come il Perù sia incendiato da varie forme di violenza da parte della criminalità organizzata, del tutto fuori controllo, </w:t>
      </w:r>
      <w:r w:rsidR="00E90E19">
        <w:t xml:space="preserve">ed agitato da sommosse popolari di opposizione al nuovo governo. Oppure un graffito che rappresenta una grande anguria, in riferimento all’agricoltura peruviana </w:t>
      </w:r>
      <w:r w:rsidR="00E90E19" w:rsidRPr="00940D19">
        <w:t>—</w:t>
      </w:r>
      <w:r w:rsidR="00E90E19">
        <w:t xml:space="preserve"> pilastro economico e culturale del Paese </w:t>
      </w:r>
      <w:r w:rsidR="00E90E19" w:rsidRPr="00940D19">
        <w:t>—</w:t>
      </w:r>
      <w:r w:rsidR="00E90E19">
        <w:t xml:space="preserve"> che diventa sfondo simbolico per riflettere su come la polarizzazione politica del Perù influenzi le letture del confitto israelo-palestinese.</w:t>
      </w:r>
    </w:p>
    <w:p w14:paraId="32875626" w14:textId="18779C84" w:rsidR="00357E0C" w:rsidRDefault="00204F1F" w:rsidP="00204F1F">
      <w:r>
        <w:t>Seppur trasferiti nello spazio dell’arte</w:t>
      </w:r>
      <w:r w:rsidR="00E90E19">
        <w:t xml:space="preserve"> </w:t>
      </w:r>
      <w:r w:rsidR="00E90E19" w:rsidRPr="00940D19">
        <w:t xml:space="preserve">come </w:t>
      </w:r>
      <w:r w:rsidR="00E90E19">
        <w:t>testimoni</w:t>
      </w:r>
      <w:r w:rsidR="00E90E19" w:rsidRPr="00940D19">
        <w:t xml:space="preserve"> di disgregazione istituzionale</w:t>
      </w:r>
      <w:r>
        <w:t>, questi</w:t>
      </w:r>
      <w:r w:rsidR="00357E0C" w:rsidRPr="00940D19">
        <w:t xml:space="preserve"> frammenti architettonici — superfici cariche di scritte, colori, slogan e cancellazioni — </w:t>
      </w:r>
      <w:r>
        <w:t>non divengono neutrali: si configurano anzi come</w:t>
      </w:r>
      <w:r w:rsidR="00357E0C" w:rsidRPr="00940D19">
        <w:t xml:space="preserve"> dispositivi di memoria</w:t>
      </w:r>
      <w:r>
        <w:t>, archeologie urbane</w:t>
      </w:r>
      <w:r w:rsidR="00357E0C" w:rsidRPr="00940D19">
        <w:t xml:space="preserve"> e, allo stesso tempo, come rovine del presente</w:t>
      </w:r>
      <w:r>
        <w:t xml:space="preserve">, inaugurando </w:t>
      </w:r>
      <w:r w:rsidRPr="00204F1F">
        <w:t>un’operazione critica che spinge i confini tra pubblico e privato, legittimo e sovversivo.</w:t>
      </w:r>
    </w:p>
    <w:p w14:paraId="6762D4C5" w14:textId="200BBB4E" w:rsidR="00D53CE3" w:rsidRDefault="00967A1D" w:rsidP="00967A1D">
      <w:r w:rsidRPr="00967A1D">
        <w:t>All’interno della galleria, una serie di stampanti termiche collegate a un sistema di ricerca web producono testi che si accumulano sul pavimento. Le stampanti operano come dispositivi discorsivi di riflessione critica sulla realtà politica e sociale del Perù, mettendola in relazione con un orizzonte globale in cui le stesse tensioni si riproducono</w:t>
      </w:r>
      <w:r>
        <w:t xml:space="preserve">. </w:t>
      </w:r>
      <w:r w:rsidR="00D53CE3" w:rsidRPr="00D53CE3">
        <w:t>Martinat mette in scena una nuova forma di archivio instabile</w:t>
      </w:r>
      <w:r w:rsidR="00D53CE3">
        <w:t xml:space="preserve"> di </w:t>
      </w:r>
      <w:r w:rsidR="00D53CE3" w:rsidRPr="00D53CE3">
        <w:t xml:space="preserve">sovrapproduzione informativa e perdita di </w:t>
      </w:r>
      <w:r w:rsidR="00D53CE3" w:rsidRPr="00D53CE3">
        <w:lastRenderedPageBreak/>
        <w:t>senso, dove l’accumulazione non produce memoria, ma espone le fratture, le distorsioni e le asimmetrie del racconto politico globale.</w:t>
      </w:r>
    </w:p>
    <w:p w14:paraId="460D728E" w14:textId="3161C888" w:rsidR="00CA263E" w:rsidRDefault="00AE6A5C" w:rsidP="00D53CE3">
      <w:r>
        <w:t>Infine, n</w:t>
      </w:r>
      <w:r w:rsidRPr="00AE6A5C">
        <w:t xml:space="preserve">ei calchi di monumenti e superfici architettoniche, Martinat svuota la pretesa di permanenza e </w:t>
      </w:r>
      <w:r>
        <w:t>sottrae l’</w:t>
      </w:r>
      <w:r w:rsidRPr="00AE6A5C">
        <w:t>autorità</w:t>
      </w:r>
      <w:r>
        <w:t xml:space="preserve"> dell’artefatto monumentale</w:t>
      </w:r>
      <w:r w:rsidRPr="00AE6A5C">
        <w:t xml:space="preserve">. Attraverso il prelievo e la traslazione di queste impronte nello spazio espositivo, il monumento </w:t>
      </w:r>
      <w:r w:rsidR="00CA263E">
        <w:t>…</w:t>
      </w:r>
    </w:p>
    <w:p w14:paraId="03F37CD5" w14:textId="77777777" w:rsidR="00CA263E" w:rsidRDefault="00CA263E" w:rsidP="00D53CE3"/>
    <w:p w14:paraId="7B66FB87" w14:textId="77777777" w:rsidR="00CA263E" w:rsidRDefault="00CA263E" w:rsidP="00D53CE3"/>
    <w:p w14:paraId="2558F338" w14:textId="7784B68B" w:rsidR="00CA263E" w:rsidRPr="005636EC" w:rsidRDefault="00AE6A5C" w:rsidP="00D53CE3">
      <w:pPr>
        <w:rPr>
          <w:i/>
          <w:iCs/>
        </w:rPr>
      </w:pPr>
      <w:r w:rsidRPr="005636EC">
        <w:rPr>
          <w:i/>
          <w:iCs/>
        </w:rPr>
        <w:t>perde la sua funzione di dispositivo di soggettivazione</w:t>
      </w:r>
    </w:p>
    <w:p w14:paraId="773A0FF5" w14:textId="37AA8FBC" w:rsidR="00D53CE3" w:rsidRPr="005636EC" w:rsidRDefault="00AE6A5C" w:rsidP="00D53CE3">
      <w:pPr>
        <w:rPr>
          <w:i/>
          <w:iCs/>
        </w:rPr>
      </w:pPr>
      <w:r w:rsidRPr="005636EC">
        <w:rPr>
          <w:i/>
          <w:iCs/>
        </w:rPr>
        <w:t>privato del suo stesso piedistallo, facendosi piuttosto traccia, residuo, documento instabile. In questo slittamento, la forma del potere non viene demolita, ma resa porosa, esposta come costruzione storica e ideologica, disponibile a nuove letture e a una riattivazione critica della memoria collettiva.</w:t>
      </w:r>
    </w:p>
    <w:p w14:paraId="24DAB160" w14:textId="77777777" w:rsidR="00AE6A5C" w:rsidRDefault="00AE6A5C" w:rsidP="00D53CE3"/>
    <w:p w14:paraId="0468F5EA" w14:textId="77777777" w:rsidR="009408CB" w:rsidRDefault="009408CB" w:rsidP="00357E0C"/>
    <w:p w14:paraId="58F0534C" w14:textId="77777777" w:rsidR="00AE6A5C" w:rsidRDefault="00AE6A5C" w:rsidP="00357E0C"/>
    <w:p w14:paraId="3C84CF58" w14:textId="4525012A" w:rsidR="00AE6A5C" w:rsidRDefault="00CA263E" w:rsidP="00357E0C">
      <w:r>
        <w:t>BIO</w:t>
      </w:r>
    </w:p>
    <w:p w14:paraId="09973E22" w14:textId="48BC5C4B" w:rsidR="009408CB" w:rsidRDefault="00AE6A5C" w:rsidP="009408CB">
      <w:r w:rsidRPr="00AE6A5C">
        <w:t xml:space="preserve">José Carlos </w:t>
      </w:r>
      <w:r w:rsidR="009408CB">
        <w:t xml:space="preserve">Martinat ha esposto ampiamente in numerose istituzioni internazionali, tra cui il Museo de Arte de Zapopan, Messico (2017), la Biennale del Brasile (2009 e 2015), la Saatchi Gallery, Londra (2014), la Tate </w:t>
      </w:r>
      <w:proofErr w:type="spellStart"/>
      <w:r w:rsidR="009408CB">
        <w:t>Modern</w:t>
      </w:r>
      <w:proofErr w:type="spellEnd"/>
      <w:r w:rsidR="009408CB">
        <w:t>, Londra (2013), la Biennale of Visual Arts, Irlanda (2012), la Noord-Holland Biennale, Paesi Bassi (2012), il Museum of Latin American Art, Los Angeles (2012), la IX Shanghai Biennale, Cina (2012), l’</w:t>
      </w:r>
      <w:proofErr w:type="spellStart"/>
      <w:r w:rsidR="009408CB">
        <w:t>Estação</w:t>
      </w:r>
      <w:proofErr w:type="spellEnd"/>
      <w:r w:rsidR="009408CB">
        <w:t xml:space="preserve"> Pinacoteca, Brasile (2011), e il Museum of Contemporary Art, Miami (2011). Opere recenti di Martinat si trovano nelle collezioni del Museum of </w:t>
      </w:r>
      <w:proofErr w:type="spellStart"/>
      <w:r w:rsidR="009408CB">
        <w:t>Modern</w:t>
      </w:r>
      <w:proofErr w:type="spellEnd"/>
      <w:r w:rsidR="009408CB">
        <w:t xml:space="preserve"> Art (New York), del Pérez Art Museum (Miami), della Tate </w:t>
      </w:r>
      <w:proofErr w:type="spellStart"/>
      <w:r w:rsidR="009408CB">
        <w:t>Modern</w:t>
      </w:r>
      <w:proofErr w:type="spellEnd"/>
      <w:r w:rsidR="009408CB">
        <w:t xml:space="preserve"> (Londra), della Saatchi Collection (Londra), del </w:t>
      </w:r>
      <w:proofErr w:type="spellStart"/>
      <w:r w:rsidR="009408CB">
        <w:t>Museu</w:t>
      </w:r>
      <w:proofErr w:type="spellEnd"/>
      <w:r w:rsidR="009408CB">
        <w:t xml:space="preserve"> de Arte </w:t>
      </w:r>
      <w:proofErr w:type="spellStart"/>
      <w:r w:rsidR="009408CB">
        <w:t>Contemporânea</w:t>
      </w:r>
      <w:proofErr w:type="spellEnd"/>
      <w:r w:rsidR="009408CB">
        <w:t xml:space="preserve"> de </w:t>
      </w:r>
      <w:proofErr w:type="spellStart"/>
      <w:r w:rsidR="009408CB">
        <w:t>São</w:t>
      </w:r>
      <w:proofErr w:type="spellEnd"/>
      <w:r w:rsidR="009408CB">
        <w:t xml:space="preserve"> Paulo (Brasile), del Museo de Arte de Lima (Perù), del Museo de Arte </w:t>
      </w:r>
      <w:proofErr w:type="gramStart"/>
      <w:r w:rsidR="009408CB">
        <w:t>Latinoamericano</w:t>
      </w:r>
      <w:proofErr w:type="gramEnd"/>
      <w:r w:rsidR="009408CB">
        <w:t xml:space="preserve"> de Buenos Aires (Argentina) e, a breve, del Guggenheim di New York.</w:t>
      </w:r>
    </w:p>
    <w:p w14:paraId="0A375281" w14:textId="77777777" w:rsidR="009408CB" w:rsidRDefault="009408CB" w:rsidP="009408CB"/>
    <w:p w14:paraId="534D9B86" w14:textId="0764E287" w:rsidR="009408CB" w:rsidRPr="00940D19" w:rsidRDefault="009408CB" w:rsidP="009408CB"/>
    <w:sectPr w:rsidR="009408CB" w:rsidRPr="00940D19" w:rsidSect="00D53CE3">
      <w:pgSz w:w="11906" w:h="16838"/>
      <w:pgMar w:top="1417"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19"/>
    <w:rsid w:val="000F5724"/>
    <w:rsid w:val="00121E7E"/>
    <w:rsid w:val="001F2BA9"/>
    <w:rsid w:val="00204F1F"/>
    <w:rsid w:val="002F4AA1"/>
    <w:rsid w:val="00357E0C"/>
    <w:rsid w:val="004276F0"/>
    <w:rsid w:val="00441DB1"/>
    <w:rsid w:val="005636EC"/>
    <w:rsid w:val="00582D95"/>
    <w:rsid w:val="005E3C50"/>
    <w:rsid w:val="006C1157"/>
    <w:rsid w:val="00705504"/>
    <w:rsid w:val="007E6F59"/>
    <w:rsid w:val="00822CB0"/>
    <w:rsid w:val="00905D40"/>
    <w:rsid w:val="009408CB"/>
    <w:rsid w:val="00940D19"/>
    <w:rsid w:val="00967A1D"/>
    <w:rsid w:val="009D58DF"/>
    <w:rsid w:val="00A958EC"/>
    <w:rsid w:val="00AE6A5C"/>
    <w:rsid w:val="00C2086F"/>
    <w:rsid w:val="00CA263E"/>
    <w:rsid w:val="00D53CE3"/>
    <w:rsid w:val="00DF2B17"/>
    <w:rsid w:val="00E33DA2"/>
    <w:rsid w:val="00E624F0"/>
    <w:rsid w:val="00E649DE"/>
    <w:rsid w:val="00E90E19"/>
    <w:rsid w:val="00EB0013"/>
    <w:rsid w:val="00EB0C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20D9"/>
  <w15:chartTrackingRefBased/>
  <w15:docId w15:val="{B0912C8F-31BD-4C13-8F7A-8DB22F74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40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40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40D1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40D1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40D1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40D1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40D1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40D1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40D1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40D1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40D1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40D1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40D1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40D1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40D1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40D1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40D1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40D19"/>
    <w:rPr>
      <w:rFonts w:eastAsiaTheme="majorEastAsia" w:cstheme="majorBidi"/>
      <w:color w:val="272727" w:themeColor="text1" w:themeTint="D8"/>
    </w:rPr>
  </w:style>
  <w:style w:type="paragraph" w:styleId="Titolo">
    <w:name w:val="Title"/>
    <w:basedOn w:val="Normale"/>
    <w:next w:val="Normale"/>
    <w:link w:val="TitoloCarattere"/>
    <w:uiPriority w:val="10"/>
    <w:qFormat/>
    <w:rsid w:val="00940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40D1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40D1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40D1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40D1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40D19"/>
    <w:rPr>
      <w:i/>
      <w:iCs/>
      <w:color w:val="404040" w:themeColor="text1" w:themeTint="BF"/>
    </w:rPr>
  </w:style>
  <w:style w:type="paragraph" w:styleId="Paragrafoelenco">
    <w:name w:val="List Paragraph"/>
    <w:basedOn w:val="Normale"/>
    <w:uiPriority w:val="34"/>
    <w:qFormat/>
    <w:rsid w:val="00940D19"/>
    <w:pPr>
      <w:ind w:left="720"/>
      <w:contextualSpacing/>
    </w:pPr>
  </w:style>
  <w:style w:type="character" w:styleId="Enfasiintensa">
    <w:name w:val="Intense Emphasis"/>
    <w:basedOn w:val="Carpredefinitoparagrafo"/>
    <w:uiPriority w:val="21"/>
    <w:qFormat/>
    <w:rsid w:val="00940D19"/>
    <w:rPr>
      <w:i/>
      <w:iCs/>
      <w:color w:val="0F4761" w:themeColor="accent1" w:themeShade="BF"/>
    </w:rPr>
  </w:style>
  <w:style w:type="paragraph" w:styleId="Citazioneintensa">
    <w:name w:val="Intense Quote"/>
    <w:basedOn w:val="Normale"/>
    <w:next w:val="Normale"/>
    <w:link w:val="CitazioneintensaCarattere"/>
    <w:uiPriority w:val="30"/>
    <w:qFormat/>
    <w:rsid w:val="00940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40D19"/>
    <w:rPr>
      <w:i/>
      <w:iCs/>
      <w:color w:val="0F4761" w:themeColor="accent1" w:themeShade="BF"/>
    </w:rPr>
  </w:style>
  <w:style w:type="character" w:styleId="Riferimentointenso">
    <w:name w:val="Intense Reference"/>
    <w:basedOn w:val="Carpredefinitoparagrafo"/>
    <w:uiPriority w:val="32"/>
    <w:qFormat/>
    <w:rsid w:val="00940D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D9E5CCE60DA1E4882497F0537CC860C" ma:contentTypeVersion="14" ma:contentTypeDescription="Creare un nuovo documento." ma:contentTypeScope="" ma:versionID="ff1b8e3b976e1ba437a9719cf4c81001">
  <xsd:schema xmlns:xsd="http://www.w3.org/2001/XMLSchema" xmlns:xs="http://www.w3.org/2001/XMLSchema" xmlns:p="http://schemas.microsoft.com/office/2006/metadata/properties" xmlns:ns3="5e4ee406-bc55-427d-b047-9fd4324dba86" xmlns:ns4="f67a7d3d-79a5-4e8b-8631-9550e8968dc6" targetNamespace="http://schemas.microsoft.com/office/2006/metadata/properties" ma:root="true" ma:fieldsID="3ec1c431a9227dac1b24183680d0885e" ns3:_="" ns4:_="">
    <xsd:import namespace="5e4ee406-bc55-427d-b047-9fd4324dba86"/>
    <xsd:import namespace="f67a7d3d-79a5-4e8b-8631-9550e8968dc6"/>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ee406-bc55-427d-b047-9fd4324dba8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a7d3d-79a5-4e8b-8631-9550e8968dc6"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SharingHintHash" ma:index="21"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e4ee406-bc55-427d-b047-9fd4324dba86" xsi:nil="true"/>
  </documentManagement>
</p:properties>
</file>

<file path=customXml/itemProps1.xml><?xml version="1.0" encoding="utf-8"?>
<ds:datastoreItem xmlns:ds="http://schemas.openxmlformats.org/officeDocument/2006/customXml" ds:itemID="{3063CF7F-F990-4B15-8531-FF9E522CE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ee406-bc55-427d-b047-9fd4324dba86"/>
    <ds:schemaRef ds:uri="f67a7d3d-79a5-4e8b-8631-9550e8968d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D59716-EDD7-4BCC-BF9A-5EEDDD0473F0}">
  <ds:schemaRefs>
    <ds:schemaRef ds:uri="http://schemas.microsoft.com/sharepoint/v3/contenttype/forms"/>
  </ds:schemaRefs>
</ds:datastoreItem>
</file>

<file path=customXml/itemProps3.xml><?xml version="1.0" encoding="utf-8"?>
<ds:datastoreItem xmlns:ds="http://schemas.openxmlformats.org/officeDocument/2006/customXml" ds:itemID="{E84843A8-27CE-4C16-96C0-BE210FE19B37}">
  <ds:schemaRefs>
    <ds:schemaRef ds:uri="http://schemas.microsoft.com/office/2006/metadata/properties"/>
    <ds:schemaRef ds:uri="http://schemas.microsoft.com/office/infopath/2007/PartnerControls"/>
    <ds:schemaRef ds:uri="5e4ee406-bc55-427d-b047-9fd4324dba86"/>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2</Pages>
  <Words>741</Words>
  <Characters>4369</Characters>
  <Application>Microsoft Office Word</Application>
  <DocSecurity>0</DocSecurity>
  <Lines>68</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NAVILLI</dc:creator>
  <cp:keywords/>
  <dc:description/>
  <cp:lastModifiedBy>ALBERTO NAVILLI</cp:lastModifiedBy>
  <cp:revision>12</cp:revision>
  <dcterms:created xsi:type="dcterms:W3CDTF">2026-01-24T15:07:00Z</dcterms:created>
  <dcterms:modified xsi:type="dcterms:W3CDTF">2026-02-12T10:30:00Z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0x0101003D9E5CCE60DA1E4882497F0537CC860C</vt:lpwstr>
  </property>
</Properties>
</file>