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1A2" w:rsidRDefault="009331A2" w:rsidP="009331A2">
      <w:pPr>
        <w:pStyle w:val="NormaleWeb"/>
        <w:shd w:val="clear" w:color="auto" w:fill="FFFFFF"/>
        <w:spacing w:before="0" w:after="0"/>
        <w:textAlignment w:val="baseline"/>
        <w:rPr>
          <w:rFonts w:ascii="Arial" w:hAnsi="Arial" w:cs="Arial"/>
          <w:color w:val="1A1A1A"/>
          <w:sz w:val="27"/>
          <w:szCs w:val="27"/>
        </w:rPr>
      </w:pPr>
      <w:bookmarkStart w:id="0" w:name="_GoBack"/>
      <w:bookmarkEnd w:id="0"/>
    </w:p>
    <w:p w:rsidR="009331A2" w:rsidRDefault="009331A2" w:rsidP="009331A2">
      <w:pPr>
        <w:pStyle w:val="NormaleWeb"/>
        <w:shd w:val="clear" w:color="auto" w:fill="FFFFFF"/>
        <w:spacing w:before="0" w:after="0"/>
        <w:textAlignment w:val="baseline"/>
        <w:rPr>
          <w:rFonts w:ascii="Arial" w:hAnsi="Arial" w:cs="Arial"/>
          <w:color w:val="1A1A1A"/>
          <w:sz w:val="27"/>
          <w:szCs w:val="27"/>
        </w:rPr>
      </w:pPr>
      <w:r>
        <w:rPr>
          <w:rFonts w:ascii="Arial" w:hAnsi="Arial" w:cs="Arial"/>
          <w:color w:val="1A1A1A"/>
          <w:sz w:val="27"/>
          <w:szCs w:val="27"/>
        </w:rPr>
        <w:t>Le </w:t>
      </w:r>
      <w:r>
        <w:rPr>
          <w:rStyle w:val="Enfasigrassetto"/>
          <w:rFonts w:ascii="Arial" w:eastAsiaTheme="majorEastAsia" w:hAnsi="Arial" w:cs="Arial"/>
          <w:color w:val="1A1A1A"/>
          <w:sz w:val="27"/>
          <w:szCs w:val="27"/>
          <w:bdr w:val="none" w:sz="0" w:space="0" w:color="auto" w:frame="1"/>
        </w:rPr>
        <w:t>stampe autografate</w:t>
      </w:r>
      <w:r>
        <w:rPr>
          <w:rFonts w:ascii="Arial" w:hAnsi="Arial" w:cs="Arial"/>
          <w:color w:val="1A1A1A"/>
          <w:sz w:val="27"/>
          <w:szCs w:val="27"/>
        </w:rPr>
        <w:t> esposte al pubblico saranno accompagnate dal racconto di </w:t>
      </w:r>
      <w:r>
        <w:rPr>
          <w:rStyle w:val="Enfasigrassetto"/>
          <w:rFonts w:ascii="Arial" w:eastAsiaTheme="majorEastAsia" w:hAnsi="Arial" w:cs="Arial"/>
          <w:color w:val="1A1A1A"/>
          <w:sz w:val="27"/>
          <w:szCs w:val="27"/>
          <w:bdr w:val="none" w:sz="0" w:space="0" w:color="auto" w:frame="1"/>
        </w:rPr>
        <w:t>Andrea Busso</w:t>
      </w:r>
      <w:r>
        <w:rPr>
          <w:rFonts w:ascii="Arial" w:hAnsi="Arial" w:cs="Arial"/>
          <w:color w:val="1A1A1A"/>
          <w:sz w:val="27"/>
          <w:szCs w:val="27"/>
        </w:rPr>
        <w:t>, chiamato a restituirne non solo il contenuto, ma anche il contesto da cui sono nate. Le opere si presentano in </w:t>
      </w:r>
      <w:r>
        <w:rPr>
          <w:rStyle w:val="Enfasigrassetto"/>
          <w:rFonts w:ascii="Arial" w:eastAsiaTheme="majorEastAsia" w:hAnsi="Arial" w:cs="Arial"/>
          <w:color w:val="1A1A1A"/>
          <w:sz w:val="27"/>
          <w:szCs w:val="27"/>
          <w:bdr w:val="none" w:sz="0" w:space="0" w:color="auto" w:frame="1"/>
        </w:rPr>
        <w:t>chiaroscuro</w:t>
      </w:r>
      <w:r>
        <w:rPr>
          <w:rFonts w:ascii="Arial" w:hAnsi="Arial" w:cs="Arial"/>
          <w:color w:val="1A1A1A"/>
          <w:sz w:val="27"/>
          <w:szCs w:val="27"/>
        </w:rPr>
        <w:t>, con rapidi accenni di </w:t>
      </w:r>
      <w:r>
        <w:rPr>
          <w:rStyle w:val="Enfasigrassetto"/>
          <w:rFonts w:ascii="Arial" w:eastAsiaTheme="majorEastAsia" w:hAnsi="Arial" w:cs="Arial"/>
          <w:color w:val="1A1A1A"/>
          <w:sz w:val="27"/>
          <w:szCs w:val="27"/>
          <w:bdr w:val="none" w:sz="0" w:space="0" w:color="auto" w:frame="1"/>
        </w:rPr>
        <w:t>giallo</w:t>
      </w:r>
      <w:r>
        <w:rPr>
          <w:rFonts w:ascii="Arial" w:hAnsi="Arial" w:cs="Arial"/>
          <w:color w:val="1A1A1A"/>
          <w:sz w:val="27"/>
          <w:szCs w:val="27"/>
        </w:rPr>
        <w:t> e </w:t>
      </w:r>
      <w:r>
        <w:rPr>
          <w:rStyle w:val="Enfasigrassetto"/>
          <w:rFonts w:ascii="Arial" w:eastAsiaTheme="majorEastAsia" w:hAnsi="Arial" w:cs="Arial"/>
          <w:color w:val="1A1A1A"/>
          <w:sz w:val="27"/>
          <w:szCs w:val="27"/>
          <w:bdr w:val="none" w:sz="0" w:space="0" w:color="auto" w:frame="1"/>
        </w:rPr>
        <w:t>blu</w:t>
      </w:r>
      <w:r>
        <w:rPr>
          <w:rFonts w:ascii="Arial" w:hAnsi="Arial" w:cs="Arial"/>
          <w:color w:val="1A1A1A"/>
          <w:sz w:val="27"/>
          <w:szCs w:val="27"/>
        </w:rPr>
        <w:t>, segni minimi che interrompono un impianto visivo essenziale e severo. La scelta di portare questa mostra in Italia risponde a una volontà precisa del curatore, che ha voluto trasformare l’esposizione in un momento di conoscenza e di confronto. </w:t>
      </w:r>
      <w:r>
        <w:rPr>
          <w:rStyle w:val="Enfasicorsivo"/>
          <w:rFonts w:ascii="Arial" w:eastAsiaTheme="majorEastAsia" w:hAnsi="Arial" w:cs="Arial"/>
          <w:color w:val="1A1A1A"/>
          <w:sz w:val="27"/>
          <w:szCs w:val="27"/>
          <w:bdr w:val="none" w:sz="0" w:space="0" w:color="auto" w:frame="1"/>
        </w:rPr>
        <w:t>Guardare questi lavori significa avvicinarsi a una ferita reale.</w:t>
      </w:r>
    </w:p>
    <w:p w:rsidR="009331A2" w:rsidRDefault="009331A2" w:rsidP="009331A2">
      <w:pPr>
        <w:pStyle w:val="NormaleWeb"/>
        <w:shd w:val="clear" w:color="auto" w:fill="FFFFFF"/>
        <w:spacing w:before="0" w:after="0"/>
        <w:textAlignment w:val="baseline"/>
        <w:rPr>
          <w:rFonts w:ascii="Arial" w:hAnsi="Arial" w:cs="Arial"/>
          <w:color w:val="1A1A1A"/>
          <w:sz w:val="27"/>
          <w:szCs w:val="27"/>
        </w:rPr>
      </w:pPr>
      <w:r>
        <w:rPr>
          <w:rFonts w:ascii="Arial" w:hAnsi="Arial" w:cs="Arial"/>
          <w:color w:val="1A1A1A"/>
          <w:sz w:val="27"/>
          <w:szCs w:val="27"/>
        </w:rPr>
        <w:t>Per </w:t>
      </w:r>
      <w:r>
        <w:rPr>
          <w:rStyle w:val="Enfasigrassetto"/>
          <w:rFonts w:ascii="Arial" w:eastAsiaTheme="majorEastAsia" w:hAnsi="Arial" w:cs="Arial"/>
          <w:color w:val="1A1A1A"/>
          <w:sz w:val="27"/>
          <w:szCs w:val="27"/>
          <w:bdr w:val="none" w:sz="0" w:space="0" w:color="auto" w:frame="1"/>
        </w:rPr>
        <w:t>Busso</w:t>
      </w:r>
      <w:r>
        <w:rPr>
          <w:rFonts w:ascii="Arial" w:hAnsi="Arial" w:cs="Arial"/>
          <w:color w:val="1A1A1A"/>
          <w:sz w:val="27"/>
          <w:szCs w:val="27"/>
        </w:rPr>
        <w:t> questa iniziativa ha anche il peso di una testimonianza personale. Nello stesso </w:t>
      </w:r>
      <w:r>
        <w:rPr>
          <w:rStyle w:val="Enfasigrassetto"/>
          <w:rFonts w:ascii="Arial" w:eastAsiaTheme="majorEastAsia" w:hAnsi="Arial" w:cs="Arial"/>
          <w:color w:val="1A1A1A"/>
          <w:sz w:val="27"/>
          <w:szCs w:val="27"/>
          <w:bdr w:val="none" w:sz="0" w:space="0" w:color="auto" w:frame="1"/>
        </w:rPr>
        <w:t>24 febbraio</w:t>
      </w:r>
      <w:r>
        <w:rPr>
          <w:rFonts w:ascii="Arial" w:hAnsi="Arial" w:cs="Arial"/>
          <w:color w:val="1A1A1A"/>
          <w:sz w:val="27"/>
          <w:szCs w:val="27"/>
        </w:rPr>
        <w:t>, mentre si trovava a </w:t>
      </w:r>
      <w:r>
        <w:rPr>
          <w:rStyle w:val="Enfasigrassetto"/>
          <w:rFonts w:ascii="Arial" w:eastAsiaTheme="majorEastAsia" w:hAnsi="Arial" w:cs="Arial"/>
          <w:color w:val="1A1A1A"/>
          <w:sz w:val="27"/>
          <w:szCs w:val="27"/>
          <w:bdr w:val="none" w:sz="0" w:space="0" w:color="auto" w:frame="1"/>
        </w:rPr>
        <w:t>Sumy</w:t>
      </w:r>
      <w:r>
        <w:rPr>
          <w:rFonts w:ascii="Arial" w:hAnsi="Arial" w:cs="Arial"/>
          <w:color w:val="1A1A1A"/>
          <w:sz w:val="27"/>
          <w:szCs w:val="27"/>
        </w:rPr>
        <w:t>, nel nord est dell’</w:t>
      </w:r>
      <w:r>
        <w:rPr>
          <w:rStyle w:val="Enfasigrassetto"/>
          <w:rFonts w:ascii="Arial" w:eastAsiaTheme="majorEastAsia" w:hAnsi="Arial" w:cs="Arial"/>
          <w:color w:val="1A1A1A"/>
          <w:sz w:val="27"/>
          <w:szCs w:val="27"/>
          <w:bdr w:val="none" w:sz="0" w:space="0" w:color="auto" w:frame="1"/>
        </w:rPr>
        <w:t>Ucraina</w:t>
      </w:r>
      <w:r>
        <w:rPr>
          <w:rFonts w:ascii="Arial" w:hAnsi="Arial" w:cs="Arial"/>
          <w:color w:val="1A1A1A"/>
          <w:sz w:val="27"/>
          <w:szCs w:val="27"/>
        </w:rPr>
        <w:t>, restò coinvolto nella guerra e rimase bloccato per </w:t>
      </w:r>
      <w:r>
        <w:rPr>
          <w:rStyle w:val="Enfasigrassetto"/>
          <w:rFonts w:ascii="Arial" w:eastAsiaTheme="majorEastAsia" w:hAnsi="Arial" w:cs="Arial"/>
          <w:color w:val="1A1A1A"/>
          <w:sz w:val="27"/>
          <w:szCs w:val="27"/>
          <w:bdr w:val="none" w:sz="0" w:space="0" w:color="auto" w:frame="1"/>
        </w:rPr>
        <w:t>trenta giorni</w:t>
      </w:r>
      <w:r>
        <w:rPr>
          <w:rFonts w:ascii="Arial" w:hAnsi="Arial" w:cs="Arial"/>
          <w:color w:val="1A1A1A"/>
          <w:sz w:val="27"/>
          <w:szCs w:val="27"/>
        </w:rPr>
        <w:t> sotto i bombardamenti. Da quell’esperienza nasce la sua convinzione più profonda: vicende così drammatiche, come le amicizie nate in quel contesto, non possono essere cancellate e devono essere raccontate. Il ricavato ottenuto dalla vendita delle stampe autografate sarà destinato alla </w:t>
      </w:r>
      <w:r>
        <w:rPr>
          <w:rStyle w:val="Enfasigrassetto"/>
          <w:rFonts w:ascii="Arial" w:eastAsiaTheme="majorEastAsia" w:hAnsi="Arial" w:cs="Arial"/>
          <w:color w:val="1A1A1A"/>
          <w:sz w:val="27"/>
          <w:szCs w:val="27"/>
          <w:bdr w:val="none" w:sz="0" w:space="0" w:color="auto" w:frame="1"/>
        </w:rPr>
        <w:t>popolazione ucraina</w:t>
      </w:r>
      <w:r>
        <w:rPr>
          <w:rFonts w:ascii="Arial" w:hAnsi="Arial" w:cs="Arial"/>
          <w:color w:val="1A1A1A"/>
          <w:sz w:val="27"/>
          <w:szCs w:val="27"/>
        </w:rPr>
        <w:t>, completando il significato solidale dell’intero progetto.</w:t>
      </w:r>
    </w:p>
    <w:p w:rsidR="00BF5113" w:rsidRDefault="00BF5113"/>
    <w:sectPr w:rsidR="00BF511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1A2"/>
    <w:rsid w:val="009331A2"/>
    <w:rsid w:val="00BF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50F7B"/>
  <w15:docId w15:val="{2C561F0E-09C2-4C0C-8A05-0B98F0697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nfasidelicata">
    <w:name w:val="Subtle Emphasis"/>
    <w:basedOn w:val="Carpredefinitoparagrafo"/>
    <w:uiPriority w:val="19"/>
    <w:qFormat/>
    <w:rPr>
      <w:i/>
      <w:iCs/>
      <w:color w:val="808080" w:themeColor="text1" w:themeTint="7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intensa">
    <w:name w:val="Intense Emphasis"/>
    <w:basedOn w:val="Carpredefinitoparagrafo"/>
    <w:uiPriority w:val="21"/>
    <w:qFormat/>
    <w:rPr>
      <w:b/>
      <w:bCs/>
      <w:i/>
      <w:iCs/>
      <w:color w:val="4F81BD" w:themeColor="accent1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unhideWhenUsed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933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0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2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2026-09-13T12:03:00Z</dcterms:created>
  <dcterms:modified xsi:type="dcterms:W3CDTF">2026-09-13T12:05:00Z</dcterms:modified>
</cp:coreProperties>
</file>