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</wp:posOffset>
            </wp:positionH>
            <wp:positionV relativeFrom="paragraph">
              <wp:posOffset>0</wp:posOffset>
            </wp:positionV>
            <wp:extent cx="1440000" cy="1440000"/>
            <wp:effectExtent b="0" l="0" r="0" t="0"/>
            <wp:wrapSquare wrapText="bothSides" distB="0" distT="0" distL="114300" distR="114300"/>
            <wp:docPr descr="Immagine che contiene testo, cerchio, Carattere, Elementi grafici&#10;&#10;Il contenuto generato dall'IA potrebbe non essere corretto." id="2" name="image1.jpg"/>
            <a:graphic>
              <a:graphicData uri="http://schemas.openxmlformats.org/drawingml/2006/picture">
                <pic:pic>
                  <pic:nvPicPr>
                    <pic:cNvPr descr="Immagine che contiene testo, cerchio, Carattere, Elementi grafici&#10;&#10;Il contenuto generato dall'IA potrebbe non essere corretto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Comunicato stampa VISCERALE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Viscerale non è un aggettivo ornamentale. È una presa di posizione.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Aprire una galleria chiamandola così significa dichiarare un rifiuto della neutralità. Significa sottrarre l’arte alla pura superficie e ricondurla al corpo, all’organo, alla reazione primaria. Il viscerale è ciò che precede il linguaggio articolato: è impulso, è contrazione, è urgenza.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Nella storia dell’estetica occidentale, la modernità ha spesso privilegiato la distanza critica, la forma, la razionalizzazione. Ma ogni epoca produce anche il suo controcampo: un’arte che non vuole essere soltanto vista, ma sentita. Non contemplata, ma attraversata.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Antonin Artaud invocava un teatro capace di “toccare i nervi”, di agire direttamente sul sistema sensibile prima ancora che sull’intelletto. Georges Bataille ha scritto dell’esperienza come eccesso, come superamento dei limiti ordinari dell’ordine e della forma. In questa linea, il viscerale è ciò che eccede la composizione armonica e introduce una frizione.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Il corpo non è un tema: è una condizione. Jean-Luc Nancy ricorda che il corpo è sempre “esposto”, sempre in relazione, mai chiuso su sé stesso. Il viscerale è esattamente questo: esposizione senza protezione, vulnerabilità che diventa linguaggio.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un’epoca dominata dalla mediazione digitale e dalla velocità dello scorrimento, la scelta del viscerale è una scelta controcorrente. Significa restituire peso alle immagini. Restituire densità alla materia. Riconoscere che l’esperienza estetica non è solo interpretazione, ma impatto fisiologico.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Il viscerale non coincide con il violento. Non è necessariamente gridato. Può essere silenzioso, ma non è mai neutro. È ciò che produce una risposta somatica: una tensione, un’inquietudine, un’attrazione difficile da spiegare.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Rainer Maria Rilke scriveva che “le opere d’arte sono di una solitudine infinita”. Questa solitudine non è isolamento: è intensità. È concentrazione. È la condizione perché l’incontro tra opera e spettatore diventi un’esperienza reale, non decorativa.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Viscerale è quindi una promessa e un rischio. Promessa di autenticità, rischio di esposizione. È uno spazio che non si limita a mostrare opere, ma intende generare reazioni. Non offrire rassicurazione, ma presenza.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Una galleria non come contenitore, ma come organismo.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Sei gli artisti in mostra dal 28 febbraio al 13 marzo 2026: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Felipe Cardeña, Paolo Cassarà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Vetra Cerulli, Ascanio Cuba, Ali Hassoun, Zep.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Ali Hassoun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 Hassoun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viscerale assume una dimensione apertamente politica. In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Venus Al Kharaq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Venere classica, bianca e levigata, è posta accanto a una montagna di abiti multicolori; una figura si china su quel cumulo mentre una scritta araba attraversa lo spazio pittorico. Bellezza canonica e realtà migratoria entrano in tensione. La montagna di tessuti richiama corpi assenti, vite stratificate, identità in transito. Il viscerale qui coincide con la memoria e con la frizione culturale. Come scriveva Edward Said, l’identità è sempre una narrazione in movimento: Hassoun la mette in scena come accumulo e paradosso.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Nell’altra opera in mostra, tre donne chine su una gigantesca banconota dollaro occupano il primo piano, mentre sullo sfondo una figura grigia e anonima dipinge davanti a una tela. Il denaro diventa superficie monumentale, quasi un altare laico. Anche qui Hassoun costruisce un cortocircuito tra valore economico e valore umano, tra centro e margine. Il viscerale, nel suo lavoro, è questa tensione silenziosa ma strutturale: un conflitto che non esplode, ma resta inscritto nella composizione.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Vetra Cerulli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opere di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Vetra Cerulli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viscerale è una questione strutturale. I ritratti sono dipinti su supporti realmente cuciti ai bordi: la superficie è tesa, trattenuta, suturata. Non è un semplice effetto formale, ma una scelta che trasforma il quadro in pelle artificiale. La cucitura introduce l’idea di contenimento e insieme di ferita, di protezione e di vulnerabilità. Il volto, reso con precisione quasi iperrealista, non galleggia su una tela neutra: è fissato dentro una membrana. L’immagine diventa corpo esposto, trattenuto ai margini. Il viscerale, qui, non è gridato. È nella tensione del supporto, nella consapevolezza che ogni identità è superficie cucita, fragile, sempre sul punto di aprirsi.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Paolo Cassarà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scultura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“Cyborg Cop”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Paolo Cassarà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nasce da una riflessione dichiaratamente antropologica. L’artista afferma di descrivere, con attenzione quasi analitica ai dettagli, il “genere umano”, e oggi concentra il proprio sguardo sul rapporto tra uomo e intelligenza artificiale — robotica, transumanesimo, potenziamento neuro-tecnologico. “Cyborg Cop” mette in scena uno scontro tra manifestanti e un poliziotto-soldato robot: non un semplice ibrido, ma la visualizzazione di una trasformazione già in atto. Supercomputer portatili, automazione, scrittura del codice genetico: la tecnologia permea la vita pubblica e privata, ridefinendo il confine tra umano e artificiale. La scelta di terracotta e legno — materie arcaiche, terrestri — rende questa tensione ancora più evidente. Il viscerale non è spettacolo, ma consapevolezza critica: è nello scarto tra la fragilità della materia e la freddezza del dispositivo, dove l’opera mette a fuoco il rischio di un’inumanità che emerge quando la macchina prende il sopravvento sul volto.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Felipe Cardeña</w:t>
      </w:r>
    </w:p>
    <w:p w:rsidR="00000000" w:rsidDel="00000000" w:rsidP="00000000" w:rsidRDefault="00000000" w:rsidRPr="00000000" w14:paraId="0000001A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Felipe Cardeña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lavora da anni su un immaginario iper-saturo, dove iconografie sacre, pop e tropicali convivono in un horror vacui dichiarato. La sua pratica è eccesso controllato: collage, colore, decorazione come strategia di sovversione. Nel contesto di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Viscerale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Cardeña rappresenta la dimensione pulsionale dell’immagine: l’ornamento come proliferazione organica, il colore come materia viva. Se l’astrazione modernista cercava l’essenza, qui siamo nell’esuberanza: un’estetica dell’abbondanza che travolge lo sguardo.</w:t>
      </w:r>
    </w:p>
    <w:p w:rsidR="00000000" w:rsidDel="00000000" w:rsidP="00000000" w:rsidRDefault="00000000" w:rsidRPr="00000000" w14:paraId="0000001B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Garamond" w:cs="Garamond" w:eastAsia="Garamond" w:hAnsi="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u w:val="single"/>
          <w:rtl w:val="0"/>
        </w:rPr>
        <w:t xml:space="preserve">Zep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opere di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Zep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viscerale assume la forma dell’impatto diretto. Il corpo diventa manifesto, superficie politica, spazio di rivendicazione. La frase “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Somos las nietas de las brujas que no pudiste quemar” non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slogan decorativo: è incisione simbolica sulla pelle, memoria che ritorna come atto di presenza. L’estetica, vicina al linguaggio urbano e alla grafica di protesta, riduce la gamma cromatica e semplifica i contrasti per aumentare la tensione. Le figure non chiedono contemplazione ma presa di posizione. Lo sguardo è frontale, talvolta ferito, sempre consapevole. In relazione a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Viscerale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lavoro di Zep agisce prima sull’istinto che sull’analisi. È immagine che tocca i nervi, che riporta l’arte a una funzione primaria: generare reazione, attivare coscienza, trasformare la superficie in campo di frizione.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Ascanio Cuba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Ascanio Cuba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Cosa ti fa…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viscerale non è metafora: è impatto diretto. Al centro della scena un enorme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domina la composizione, trasformato in dispositivo monumentale. Una figura nera, anonima, viene risucchiata o travolta, mentre il rosso colato attraversa la superficie come segno violento, quasi organico. Attorno, parole, frasi, appunti invadono lo spazio pittorico: il linguaggio non accompagna l’immagine, la aggredisce. Il water — oggetto quotidiano, intimo, corporeo — diventa simbolo di espulsione, scarto, eliminazione. Cuba costruisce una scena dove l’individuo sembra inghiottito da un sistema che consuma e scarta. La scrittura, sovrapposta e frammentata, amplifica il senso di saturazione mentale e sociale. Il viscerale qui è esplicito: è nella colatura, nella caduta, nell’idea di un corpo trascinato in un meccanismo più grande. Non rappresentazione, ma denuncia plastica di un presente che assorbe e neutralizza.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00" w:before="200" w:lineRule="auto"/>
        <w:rPr>
          <w:rFonts w:ascii="Garamond" w:cs="Garamond" w:eastAsia="Garamond" w:hAnsi="Garamond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u w:val="single"/>
          <w:rtl w:val="0"/>
        </w:rPr>
        <w:t xml:space="preserve">Per ulteriori informazioni o richieste di interviste:</w:t>
      </w:r>
    </w:p>
    <w:p w:rsidR="00000000" w:rsidDel="00000000" w:rsidP="00000000" w:rsidRDefault="00000000" w:rsidRPr="00000000" w14:paraId="00000026">
      <w:pPr>
        <w:shd w:fill="ffffff" w:val="clear"/>
        <w:spacing w:after="200" w:before="200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Curatrice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222222"/>
          <w:sz w:val="24"/>
          <w:szCs w:val="24"/>
          <w:rtl w:val="0"/>
        </w:rPr>
        <w:t xml:space="preserve">Paola Martino</w:t>
      </w: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 – tel. 333 2939557</w:t>
        <w:br w:type="textWrapping"/>
        <w:t xml:space="preserve">Curatore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222222"/>
          <w:sz w:val="24"/>
          <w:szCs w:val="24"/>
          <w:rtl w:val="0"/>
        </w:rPr>
        <w:t xml:space="preserve">Alessandro Baffigi</w:t>
      </w: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 – tel. 351 7327342</w:t>
      </w:r>
    </w:p>
    <w:p w:rsidR="00000000" w:rsidDel="00000000" w:rsidP="00000000" w:rsidRDefault="00000000" w:rsidRPr="00000000" w14:paraId="00000027">
      <w:pPr>
        <w:shd w:fill="ffffff" w:val="clear"/>
        <w:spacing w:after="200" w:before="200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Luogo: Galleria Viscerale Via Angelo della Pergola, 10 Milano</w:t>
      </w:r>
    </w:p>
    <w:p w:rsidR="00000000" w:rsidDel="00000000" w:rsidP="00000000" w:rsidRDefault="00000000" w:rsidRPr="00000000" w14:paraId="00000028">
      <w:pPr>
        <w:shd w:fill="ffffff" w:val="clear"/>
        <w:spacing w:after="200" w:before="200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Inaugurazione: 28 febbraio ore 18.30</w:t>
      </w:r>
    </w:p>
    <w:p w:rsidR="00000000" w:rsidDel="00000000" w:rsidP="00000000" w:rsidRDefault="00000000" w:rsidRPr="00000000" w14:paraId="00000029">
      <w:pPr>
        <w:shd w:fill="ffffff" w:val="clear"/>
        <w:spacing w:after="200" w:before="200" w:lineRule="auto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Date: 28 febbraio - 13 Marzo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B2BA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B2BA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B2BA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B2BA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B2BA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B2BA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B2BA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B2BAE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B2BA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B2BAE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B2BA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B2BAE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B2BA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B2BA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B2BA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B2BAE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B2BAE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B2BAE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B2BA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B2BAE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B2BAE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unhideWhenUsed w:val="1"/>
    <w:rsid w:val="00FA03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FA03A7"/>
    <w:rPr>
      <w:b w:val="1"/>
      <w:bCs w:val="1"/>
    </w:rPr>
  </w:style>
  <w:style w:type="character" w:styleId="whitespace-normal" w:customStyle="1">
    <w:name w:val="whitespace-normal"/>
    <w:basedOn w:val="Carpredefinitoparagrafo"/>
    <w:rsid w:val="00A50F38"/>
  </w:style>
  <w:style w:type="character" w:styleId="Enfasicorsivo">
    <w:name w:val="Emphasis"/>
    <w:basedOn w:val="Carpredefinitoparagrafo"/>
    <w:uiPriority w:val="20"/>
    <w:qFormat w:val="1"/>
    <w:rsid w:val="00A50F38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YazbfSOPpHuEQNUyHaXp1MXaA==">CgMxLjA4AHIhMVlNWXIyYjE2Vkhibzl3UzBjLW83Smp3X0t6N0QyXzR3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2026-02-23T13:23:00Z</dcterms:created>
  <dc:creator>Donato Apollonio</dc:creator>
</cp:coreProperties>
</file>