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4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4994910</wp:posOffset>
            </wp:positionH>
            <wp:positionV relativeFrom="paragraph">
              <wp:posOffset>635</wp:posOffset>
            </wp:positionV>
            <wp:extent cx="1122045" cy="583565"/>
            <wp:effectExtent l="0" t="0" r="0" b="0"/>
            <wp:wrapSquare wrapText="largest"/>
            <wp:docPr id="1" name="Immagine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58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3175</wp:posOffset>
            </wp:positionH>
            <wp:positionV relativeFrom="paragraph">
              <wp:posOffset>13335</wp:posOffset>
            </wp:positionV>
            <wp:extent cx="2247265" cy="685165"/>
            <wp:effectExtent l="0" t="0" r="0" b="0"/>
            <wp:wrapSquare wrapText="largest"/>
            <wp:docPr id="2" name="Immagine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4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                                        </w:t>
      </w:r>
      <w:r>
        <w:rPr>
          <w:rFonts w:ascii="Arial" w:hAnsi="Arial"/>
          <w:b/>
          <w:bCs/>
          <w:sz w:val="28"/>
          <w:szCs w:val="28"/>
        </w:rPr>
        <w:t>COMUNICATO STAMPA</w:t>
      </w:r>
    </w:p>
    <w:p>
      <w:pPr>
        <w:pStyle w:val="Normal"/>
        <w:bidi w:val="0"/>
        <w:jc w:val="start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</w:r>
    </w:p>
    <w:p>
      <w:pPr>
        <w:pStyle w:val="Normal"/>
        <w:bidi w:val="0"/>
        <w:jc w:val="start"/>
        <w:rPr>
          <w:rFonts w:ascii="Arial" w:hAnsi="Arial"/>
          <w:b w:val="false"/>
          <w:sz w:val="28"/>
        </w:rPr>
      </w:pPr>
      <w:r>
        <w:rPr>
          <w:rFonts w:ascii="Arial" w:hAnsi="Arial"/>
          <w:b w:val="false"/>
          <w:bCs w:val="false"/>
          <w:sz w:val="24"/>
          <w:szCs w:val="24"/>
        </w:rPr>
        <w:t xml:space="preserve">Luogo: </w:t>
      </w:r>
      <w:r>
        <w:rPr>
          <w:rFonts w:ascii="Google Sans;Arial;sans-serif" w:hAnsi="Google Sans;Arial;sans-serif"/>
          <w:b/>
          <w:bCs/>
          <w:i w:val="false"/>
          <w:caps w:val="false"/>
          <w:smallCaps w:val="false"/>
          <w:color w:val="202124"/>
          <w:spacing w:val="0"/>
          <w:sz w:val="24"/>
          <w:szCs w:val="24"/>
        </w:rPr>
        <w:t>Museo Archeologico Nazionale Dell'Alta Val D'Agri e Parco Archeologico di Grumentum</w:t>
      </w:r>
      <w:r>
        <w:rPr>
          <w:rFonts w:ascii="Arial" w:hAnsi="Arial"/>
          <w:b/>
          <w:bCs/>
          <w:sz w:val="24"/>
          <w:szCs w:val="24"/>
        </w:rPr>
        <w:t xml:space="preserve">, </w:t>
      </w:r>
      <w:r>
        <w:rPr>
          <w:rFonts w:ascii="Arial" w:hAnsi="Arial"/>
          <w:b/>
          <w:bCs/>
          <w:sz w:val="24"/>
          <w:szCs w:val="24"/>
        </w:rPr>
        <w:t xml:space="preserve">Contrada Spineta, Grumento Nova, </w:t>
      </w:r>
      <w:r>
        <w:rPr>
          <w:rFonts w:ascii="Arial" w:hAnsi="Arial"/>
          <w:b/>
          <w:bCs/>
          <w:sz w:val="24"/>
          <w:szCs w:val="24"/>
        </w:rPr>
        <w:t>Basilicata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4"/>
          <w:szCs w:val="24"/>
        </w:rPr>
        <w:t xml:space="preserve">Data: </w:t>
      </w:r>
      <w:r>
        <w:rPr>
          <w:rFonts w:ascii="Arial" w:hAnsi="Arial"/>
          <w:b/>
          <w:bCs/>
          <w:sz w:val="24"/>
          <w:szCs w:val="24"/>
        </w:rPr>
        <w:t xml:space="preserve">Domenica </w:t>
      </w:r>
      <w:r>
        <w:rPr>
          <w:rFonts w:ascii="Arial" w:hAnsi="Arial"/>
          <w:b/>
          <w:bCs/>
          <w:sz w:val="24"/>
          <w:szCs w:val="24"/>
        </w:rPr>
        <w:t xml:space="preserve">24 </w:t>
      </w:r>
      <w:r>
        <w:rPr>
          <w:rFonts w:ascii="Arial" w:hAnsi="Arial"/>
          <w:b/>
          <w:bCs/>
          <w:sz w:val="24"/>
          <w:szCs w:val="24"/>
        </w:rPr>
        <w:t xml:space="preserve">agosto 2025, ore </w:t>
      </w:r>
      <w:r>
        <w:rPr>
          <w:rFonts w:ascii="Arial" w:hAnsi="Arial"/>
          <w:b/>
          <w:bCs/>
          <w:sz w:val="24"/>
          <w:szCs w:val="24"/>
        </w:rPr>
        <w:t>17</w:t>
      </w:r>
      <w:r>
        <w:rPr>
          <w:rFonts w:ascii="Arial" w:hAnsi="Arial"/>
          <w:b/>
          <w:bCs/>
          <w:sz w:val="24"/>
          <w:szCs w:val="24"/>
        </w:rPr>
        <w:t>,</w:t>
      </w:r>
      <w:r>
        <w:rPr>
          <w:rFonts w:ascii="Arial" w:hAnsi="Arial"/>
          <w:b/>
          <w:bCs/>
          <w:sz w:val="24"/>
          <w:szCs w:val="24"/>
        </w:rPr>
        <w:t xml:space="preserve">30, </w:t>
      </w:r>
      <w:r>
        <w:rPr>
          <w:rFonts w:ascii="Arial" w:hAnsi="Arial"/>
          <w:b/>
          <w:bCs/>
          <w:sz w:val="24"/>
          <w:szCs w:val="24"/>
        </w:rPr>
        <w:t>fino al 30 settembre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4"/>
          <w:szCs w:val="24"/>
        </w:rPr>
        <w:t xml:space="preserve">Evento di arte Contemporanea: </w:t>
      </w:r>
      <w:r>
        <w:rPr>
          <w:rFonts w:ascii="Arial" w:hAnsi="Arial"/>
          <w:b/>
          <w:bCs/>
          <w:sz w:val="26"/>
          <w:szCs w:val="26"/>
        </w:rPr>
        <w:t>“M</w:t>
      </w:r>
      <w:r>
        <w:rPr>
          <w:rFonts w:ascii="Arial" w:hAnsi="Arial"/>
          <w:b/>
          <w:bCs/>
          <w:sz w:val="26"/>
          <w:szCs w:val="26"/>
        </w:rPr>
        <w:t>NEMOSINE</w:t>
      </w:r>
      <w:r>
        <w:rPr>
          <w:rFonts w:ascii="Arial" w:hAnsi="Arial"/>
          <w:b/>
          <w:bCs/>
          <w:sz w:val="26"/>
          <w:szCs w:val="26"/>
        </w:rPr>
        <w:t>- Ancora Camus”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>Opere e installazioni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4"/>
          <w:szCs w:val="24"/>
        </w:rPr>
        <w:t xml:space="preserve">Artista: </w:t>
      </w:r>
      <w:r>
        <w:rPr>
          <w:rFonts w:ascii="Arial" w:hAnsi="Arial"/>
          <w:b/>
          <w:bCs/>
          <w:sz w:val="24"/>
          <w:szCs w:val="24"/>
        </w:rPr>
        <w:t>Mimmo Longobardi</w:t>
      </w:r>
      <w:r>
        <w:rPr>
          <w:rFonts w:ascii="Arial" w:hAnsi="Arial"/>
          <w:b w:val="false"/>
          <w:bCs w:val="false"/>
          <w:sz w:val="24"/>
          <w:szCs w:val="24"/>
        </w:rPr>
        <w:t xml:space="preserve"> 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4"/>
          <w:szCs w:val="24"/>
        </w:rPr>
        <w:t xml:space="preserve">a cura di: </w:t>
      </w:r>
      <w:r>
        <w:rPr>
          <w:rFonts w:ascii="Arial" w:hAnsi="Arial"/>
          <w:b/>
          <w:bCs/>
          <w:sz w:val="24"/>
          <w:szCs w:val="24"/>
        </w:rPr>
        <w:t>Pasquale Persico</w:t>
      </w:r>
    </w:p>
    <w:p>
      <w:pPr>
        <w:pStyle w:val="Normal"/>
        <w:bidi w:val="0"/>
        <w:jc w:val="start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DNA Marateacontemporanea </w:t>
      </w:r>
    </w:p>
    <w:p>
      <w:pPr>
        <w:pStyle w:val="Normal"/>
        <w:bidi w:val="0"/>
        <w:jc w:val="start"/>
        <w:rPr>
          <w:rFonts w:ascii="Arial" w:hAnsi="Arial"/>
          <w:b w:val="false"/>
          <w:bCs w:val="false"/>
          <w:sz w:val="28"/>
          <w:szCs w:val="28"/>
        </w:rPr>
      </w:pPr>
      <w:r>
        <w:rPr>
          <w:rFonts w:ascii="Arial" w:hAnsi="Arial"/>
          <w:b w:val="false"/>
          <w:bCs w:val="false"/>
          <w:sz w:val="24"/>
          <w:szCs w:val="24"/>
        </w:rPr>
        <w:t xml:space="preserve">con la partecipazione dello scrittore </w:t>
      </w:r>
      <w:r>
        <w:rPr>
          <w:rFonts w:ascii="Arial" w:hAnsi="Arial"/>
          <w:b/>
          <w:bCs/>
          <w:sz w:val="24"/>
          <w:szCs w:val="24"/>
        </w:rPr>
        <w:t>Alessandro Bressolin</w:t>
      </w:r>
    </w:p>
    <w:p>
      <w:pPr>
        <w:pStyle w:val="Normal"/>
        <w:bidi w:val="0"/>
        <w:jc w:val="start"/>
        <w:rPr>
          <w:sz w:val="24"/>
          <w:szCs w:val="24"/>
        </w:rPr>
      </w:pPr>
      <w:r>
        <w:rPr>
          <w:rFonts w:ascii="Arial" w:hAnsi="Arial"/>
          <w:b w:val="false"/>
          <w:bCs w:val="false"/>
          <w:sz w:val="28"/>
          <w:szCs w:val="28"/>
        </w:rPr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  <w:t xml:space="preserve">  </w:t>
      </w:r>
      <w:r>
        <w:rPr>
          <w:rFonts w:ascii="Arial" w:hAnsi="Arial"/>
          <w:b/>
          <w:bCs/>
          <w:sz w:val="26"/>
          <w:szCs w:val="26"/>
        </w:rPr>
        <w:t xml:space="preserve">Albert Camus nuovamente in viaggio </w:t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Q</w:t>
      </w:r>
      <w:r>
        <w:rPr>
          <w:rFonts w:ascii="Arial" w:hAnsi="Arial"/>
          <w:sz w:val="22"/>
          <w:szCs w:val="22"/>
        </w:rPr>
        <w:t xml:space="preserve">uesta volta, è curatore invisibile della mostra sui mille sentieri d’arte che  Mimmo Longobardi propone con il titolo “ </w:t>
      </w:r>
      <w:r>
        <w:rPr>
          <w:rFonts w:ascii="Arial" w:hAnsi="Arial"/>
          <w:sz w:val="22"/>
          <w:szCs w:val="22"/>
        </w:rPr>
        <w:t>MNEMOSINE,</w:t>
      </w:r>
      <w:r>
        <w:rPr>
          <w:rFonts w:ascii="Arial" w:hAnsi="Arial"/>
          <w:sz w:val="22"/>
          <w:szCs w:val="22"/>
        </w:rPr>
        <w:t xml:space="preserve"> Ancor</w:t>
      </w:r>
      <w:r>
        <w:rPr>
          <w:rFonts w:ascii="Arial" w:hAnsi="Arial"/>
          <w:sz w:val="22"/>
          <w:szCs w:val="22"/>
        </w:rPr>
        <w:t>a</w:t>
      </w:r>
      <w:r>
        <w:rPr>
          <w:rFonts w:ascii="Arial" w:hAnsi="Arial"/>
          <w:sz w:val="22"/>
          <w:szCs w:val="22"/>
        </w:rPr>
        <w:t xml:space="preserve"> Camus ”.</w:t>
      </w:r>
    </w:p>
    <w:p>
      <w:pPr>
        <w:pStyle w:val="Normal"/>
        <w:bidi w:val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</w:t>
      </w:r>
      <w:r>
        <w:rPr>
          <w:rFonts w:ascii="Arial" w:hAnsi="Arial"/>
          <w:sz w:val="22"/>
          <w:szCs w:val="22"/>
        </w:rPr>
        <w:t>ncora</w:t>
      </w:r>
      <w:r>
        <w:rPr>
          <w:rFonts w:ascii="Arial" w:hAnsi="Arial"/>
          <w:sz w:val="22"/>
          <w:szCs w:val="22"/>
        </w:rPr>
        <w:t xml:space="preserve"> Camus, significa riscoprire Camus come viaggiatore instancabile, che si racconta e ci racconta l’evoluzione del suo pens</w:t>
      </w:r>
      <w:r>
        <w:rPr>
          <w:rFonts w:ascii="Arial" w:hAnsi="Arial"/>
          <w:sz w:val="22"/>
          <w:szCs w:val="22"/>
        </w:rPr>
        <w:t>are</w:t>
      </w:r>
      <w:r>
        <w:rPr>
          <w:rFonts w:ascii="Arial" w:hAnsi="Arial"/>
          <w:sz w:val="22"/>
          <w:szCs w:val="22"/>
        </w:rPr>
        <w:t xml:space="preserve"> attraverso gli incontri con </w:t>
      </w:r>
      <w:r>
        <w:rPr>
          <w:rFonts w:ascii="Arial" w:hAnsi="Arial"/>
          <w:sz w:val="22"/>
          <w:szCs w:val="22"/>
        </w:rPr>
        <w:t xml:space="preserve">idee </w:t>
      </w:r>
      <w:r>
        <w:rPr>
          <w:rFonts w:ascii="Arial" w:hAnsi="Arial"/>
          <w:sz w:val="22"/>
          <w:szCs w:val="22"/>
        </w:rPr>
        <w:t>e credenze diverse.</w:t>
      </w:r>
    </w:p>
    <w:p>
      <w:pPr>
        <w:pStyle w:val="Normal"/>
        <w:bidi w:val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Camus si presenta: &lt; io credo solo nelle differenze e nello specchiarsi nell’altro, l’eredità del passato ci aiuta a decodificare i futuri, gli orizzonti del mediterraneo ci aprono la mente.&gt; Come credenza, la Mediterraneità emerge,  in mille riflessioni,  estraibili dai suoi Taccuini; frammenti di viaggi e racconti, ci fanno incontrare l’evoluzione del suo pensiero sempre in rivolta, a partire dal perchè contrastare i nazionalismi,  per approdare, nel tempo, all’unione delle differenze come ricchezza dei popoli federati. </w:t>
      </w:r>
    </w:p>
    <w:p>
      <w:pPr>
        <w:pStyle w:val="Normal"/>
        <w:bidi w:val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Mimmo Longobardi ci fa portare per mano  Camus da Paestum a Grumentum, e la metafora del racconto dei frammenti di storia e degli attraversamenti lungo il  Fiume Agri lo  portano ad inventa</w:t>
      </w:r>
      <w:r>
        <w:rPr>
          <w:rFonts w:ascii="Arial" w:hAnsi="Arial"/>
          <w:sz w:val="22"/>
          <w:szCs w:val="22"/>
        </w:rPr>
        <w:t>re</w:t>
      </w:r>
      <w:r>
        <w:rPr>
          <w:rFonts w:ascii="Arial" w:hAnsi="Arial"/>
          <w:sz w:val="22"/>
          <w:szCs w:val="22"/>
        </w:rPr>
        <w:t xml:space="preserve"> un nuovo neologismo, </w:t>
      </w:r>
      <w:r>
        <w:rPr>
          <w:rFonts w:ascii="Arial" w:hAnsi="Arial"/>
          <w:i/>
          <w:iCs/>
          <w:sz w:val="22"/>
          <w:szCs w:val="22"/>
        </w:rPr>
        <w:t>Arteologia</w:t>
      </w:r>
      <w:r>
        <w:rPr>
          <w:rFonts w:ascii="Arial" w:hAnsi="Arial"/>
          <w:sz w:val="22"/>
          <w:szCs w:val="22"/>
        </w:rPr>
        <w:t xml:space="preserve">, come metodologia di apprendimento.  Mnemosine, dea della memoria, generatrice di  muse contemporanee, ispira il nuovo viaggio.  Camus si propone come curatore d’arte per  l’incontro con i suoi temi. Questa volta, la relazione tra curatore invisibile ed artista è una interazione ancora più fertile, l’arte diventa un macroscopio per mettere in sequenza frammenti di storia e di storie; l’arte e la lettura ci riaprono  la mente  ed anche noi ci appropriamo dei linguaggi multipli di Camus. </w:t>
      </w:r>
    </w:p>
    <w:p>
      <w:pPr>
        <w:pStyle w:val="Normal"/>
        <w:bidi w:val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Con la perseveranza  cerchiamo di orientare la nostra mente ed i nostri nuovi occhi verso una nuova cultura dello sguardo e del pensiero. </w:t>
      </w:r>
      <w:r>
        <w:rPr>
          <w:rFonts w:ascii="Arial" w:hAnsi="Arial"/>
          <w:i/>
          <w:iCs/>
          <w:sz w:val="22"/>
          <w:szCs w:val="22"/>
        </w:rPr>
        <w:t>Arteol</w:t>
      </w:r>
      <w:r>
        <w:rPr>
          <w:rFonts w:ascii="Arial" w:hAnsi="Arial"/>
          <w:i/>
          <w:iCs/>
          <w:sz w:val="22"/>
          <w:szCs w:val="22"/>
        </w:rPr>
        <w:t>o</w:t>
      </w:r>
      <w:r>
        <w:rPr>
          <w:rFonts w:ascii="Arial" w:hAnsi="Arial"/>
          <w:i/>
          <w:iCs/>
          <w:sz w:val="22"/>
          <w:szCs w:val="22"/>
        </w:rPr>
        <w:t>gia</w:t>
      </w:r>
      <w:r>
        <w:rPr>
          <w:rFonts w:ascii="Arial" w:hAnsi="Arial"/>
          <w:sz w:val="22"/>
          <w:szCs w:val="22"/>
        </w:rPr>
        <w:t xml:space="preserve"> diventa una percorso dentro e fuori l’area archeologica, l’immaginario entra in campo e con  Camus si  moltiplica più volte, il viaggio, da Paestum  arriva a Grumentum: i Taccuini accolgono nuove parole, gli  orizzonti multipli diventano visibili nella nostra mente ed il Mediterraneo riappare  continente di apprendimento. Le esperienze di Camus ci parlano  in nuove rappresentazioni artistiche, simboliche: l’incontro laterale con Simon Weil, le acque come attraversamenti vitali , il saper vivere nell’ “Assurdo ma  in rivolta”, l’ aprire la memoria al dialogo sulla storia dei popoli , la ricchezza dei luoghi  si associa alle biblioteche, come installazioni creative.</w:t>
      </w:r>
    </w:p>
    <w:p>
      <w:pPr>
        <w:pStyle w:val="Normal"/>
        <w:bidi w:val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La memoria nella ricerca dell’artista e del curatore, diventa madre generativa e l’approccio alla biblioteca di ABY Warburg viene ampliato e ricollocato fino  a diventare  fiume che sale anche sulle montagne per poi scendere nuovamente verso il Mare.</w:t>
      </w:r>
    </w:p>
    <w:p>
      <w:pPr>
        <w:pStyle w:val="Normal"/>
        <w:bidi w:val="0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Finalmente il neologismo, Arteologia, si rivela come orizzonte di apprendimento irrinunciabile, l’apprendere ad apprendere in  Ancora Camus diventa viaggio </w:t>
      </w:r>
      <w:r>
        <w:rPr>
          <w:rFonts w:ascii="Arial" w:hAnsi="Arial"/>
          <w:sz w:val="22"/>
          <w:szCs w:val="22"/>
        </w:rPr>
        <w:t>fondamentale</w:t>
      </w:r>
      <w:r>
        <w:rPr>
          <w:rFonts w:ascii="Arial" w:hAnsi="Arial"/>
          <w:sz w:val="22"/>
          <w:szCs w:val="22"/>
        </w:rPr>
        <w:t>;  il curatore invisibile appare finalmente alle nostre spalle, riflesso dalle acque del  Mediterraneo rappresentate come quadro di sintesi con  più orizzonti da decodificare come nuove onde di apprendimento e d’azione.</w:t>
      </w:r>
    </w:p>
    <w:p>
      <w:pPr>
        <w:pStyle w:val="Normal"/>
        <w:bidi w:val="0"/>
        <w:jc w:val="start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Cent</w:t>
      </w:r>
      <w:r>
        <w:rPr>
          <w:rFonts w:ascii="Arial" w:hAnsi="Arial"/>
          <w:sz w:val="22"/>
          <w:szCs w:val="22"/>
        </w:rPr>
        <w:t>o</w:t>
      </w:r>
      <w:r>
        <w:rPr>
          <w:rFonts w:ascii="Arial" w:hAnsi="Arial"/>
          <w:sz w:val="22"/>
          <w:szCs w:val="22"/>
        </w:rPr>
        <w:t xml:space="preserve">uno piccoli collage orizzonti in dono, rinnovano al visitatore la possibilità di aprirsi a  nuovi pensieri per nuove inedite mete.                                                                          </w:t>
      </w:r>
      <w:r>
        <w:rPr>
          <w:rFonts w:ascii="Arial" w:hAnsi="Arial"/>
          <w:b w:val="false"/>
          <w:bCs w:val="false"/>
          <w:i/>
          <w:iCs/>
          <w:sz w:val="22"/>
          <w:szCs w:val="22"/>
        </w:rPr>
        <w:t>Pasquale Persico</w:t>
      </w:r>
      <w:r>
        <w:rPr>
          <w:rFonts w:ascii="Arial" w:hAnsi="Arial"/>
          <w:b w:val="false"/>
          <w:bCs w:val="false"/>
          <w:sz w:val="24"/>
          <w:szCs w:val="24"/>
        </w:rPr>
        <w:t xml:space="preserve"> </w:t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16"/>
          <w:szCs w:val="16"/>
        </w:rPr>
      </w:pPr>
      <w:r>
        <w:rPr>
          <w:rFonts w:ascii="Arial" w:hAnsi="Arial"/>
          <w:b w:val="false"/>
          <w:bCs w:val="false"/>
          <w:sz w:val="16"/>
          <w:szCs w:val="16"/>
        </w:rPr>
        <w:t>DNA Marateacontemporanea Ass. cult. Arti Visive Via A. Mandarini, 29  Maratea PZ</w:t>
      </w:r>
    </w:p>
    <w:p>
      <w:pPr>
        <w:pStyle w:val="Normal"/>
        <w:bidi w:val="0"/>
        <w:jc w:val="start"/>
        <w:rPr>
          <w:sz w:val="24"/>
          <w:szCs w:val="24"/>
        </w:rPr>
      </w:pPr>
      <w:r>
        <w:rPr>
          <w:rFonts w:ascii="Arial" w:hAnsi="Arial"/>
          <w:b w:val="false"/>
          <w:bCs w:val="false"/>
          <w:sz w:val="22"/>
          <w:szCs w:val="22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364865" cy="3901440"/>
            <wp:effectExtent l="0" t="0" r="0" b="0"/>
            <wp:wrapSquare wrapText="largest"/>
            <wp:docPr id="3" name="Immagine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2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5" cy="390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b/>
          <w:bCs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  <w:t xml:space="preserve"> </w:t>
      </w:r>
      <w:r>
        <w:rPr>
          <w:rFonts w:ascii="Arial" w:hAnsi="Arial"/>
          <w:b w:val="false"/>
          <w:bCs w:val="false"/>
          <w:sz w:val="22"/>
          <w:szCs w:val="22"/>
        </w:rPr>
        <w:t xml:space="preserve">Mimmo Longobardi </w:t>
      </w:r>
      <w:r>
        <w:rPr>
          <w:rFonts w:ascii="Arial" w:hAnsi="Arial"/>
          <w:b w:val="false"/>
          <w:bCs w:val="false"/>
          <w:sz w:val="22"/>
          <w:szCs w:val="22"/>
        </w:rPr>
        <w:t>“</w:t>
      </w:r>
      <w:r>
        <w:rPr>
          <w:rFonts w:ascii="Arial" w:hAnsi="Arial"/>
          <w:b/>
          <w:bCs/>
          <w:sz w:val="22"/>
          <w:szCs w:val="22"/>
        </w:rPr>
        <w:t xml:space="preserve">MNEMOSINE </w:t>
      </w:r>
      <w:r>
        <w:rPr>
          <w:rFonts w:ascii="Arial" w:hAnsi="Arial"/>
          <w:b/>
          <w:bCs/>
          <w:sz w:val="22"/>
          <w:szCs w:val="22"/>
        </w:rPr>
        <w:t>1</w:t>
      </w:r>
      <w:r>
        <w:rPr>
          <w:rFonts w:ascii="Arial" w:hAnsi="Arial"/>
          <w:b w:val="false"/>
          <w:bCs w:val="false"/>
          <w:sz w:val="22"/>
          <w:szCs w:val="22"/>
        </w:rPr>
        <w:t>”</w:t>
      </w:r>
      <w:r>
        <w:rPr>
          <w:rFonts w:ascii="Arial" w:hAnsi="Arial"/>
          <w:b w:val="false"/>
          <w:bCs w:val="false"/>
          <w:sz w:val="22"/>
          <w:szCs w:val="22"/>
        </w:rPr>
        <w:t xml:space="preserve"> </w:t>
      </w:r>
      <w:r>
        <w:rPr>
          <w:rFonts w:ascii="Arial" w:hAnsi="Arial"/>
          <w:b w:val="false"/>
          <w:bCs w:val="false"/>
          <w:sz w:val="22"/>
          <w:szCs w:val="22"/>
        </w:rPr>
        <w:t>I</w:t>
      </w:r>
      <w:r>
        <w:rPr>
          <w:rFonts w:ascii="Arial" w:hAnsi="Arial"/>
          <w:b w:val="false"/>
          <w:bCs w:val="false"/>
          <w:sz w:val="22"/>
          <w:szCs w:val="22"/>
        </w:rPr>
        <w:t>n</w:t>
      </w:r>
      <w:r>
        <w:rPr>
          <w:rFonts w:ascii="Arial" w:hAnsi="Arial"/>
          <w:b w:val="false"/>
          <w:bCs w:val="false"/>
          <w:sz w:val="22"/>
          <w:szCs w:val="22"/>
        </w:rPr>
        <w:t>stallazione :</w:t>
      </w:r>
      <w:r>
        <w:rPr>
          <w:rFonts w:ascii="Arial" w:hAnsi="Arial"/>
          <w:b w:val="false"/>
          <w:bCs w:val="false"/>
          <w:sz w:val="22"/>
          <w:szCs w:val="22"/>
        </w:rPr>
        <w:t xml:space="preserve">cm 140x170 tec mista tela, </w:t>
      </w:r>
      <w:r>
        <w:rPr>
          <w:rFonts w:ascii="Arial" w:hAnsi="Arial"/>
          <w:b w:val="false"/>
          <w:bCs w:val="false"/>
          <w:sz w:val="22"/>
          <w:szCs w:val="22"/>
        </w:rPr>
        <w:t>libri, libreria, sedia.</w:t>
      </w:r>
      <w:r>
        <w:rPr>
          <w:rFonts w:ascii="Arial" w:hAnsi="Arial"/>
          <w:b w:val="false"/>
          <w:bCs w:val="false"/>
          <w:sz w:val="22"/>
          <w:szCs w:val="22"/>
        </w:rPr>
        <w:t xml:space="preserve"> 2024</w:t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1602740</wp:posOffset>
            </wp:positionH>
            <wp:positionV relativeFrom="paragraph">
              <wp:posOffset>26035</wp:posOffset>
            </wp:positionV>
            <wp:extent cx="2857500" cy="1600200"/>
            <wp:effectExtent l="0" t="0" r="0" b="0"/>
            <wp:wrapSquare wrapText="largest"/>
            <wp:docPr id="4" name="Immagine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3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Arial" w:hAnsi="Arial"/>
          <w:b w:val="false"/>
          <w:bCs w:val="false"/>
          <w:sz w:val="22"/>
          <w:szCs w:val="22"/>
        </w:rPr>
      </w:r>
    </w:p>
    <w:p>
      <w:pPr>
        <w:pStyle w:val="Normal"/>
        <w:bidi w:val="0"/>
        <w:jc w:val="both"/>
        <w:rPr>
          <w:rFonts w:ascii="Arial" w:hAnsi="Arial"/>
          <w:b w:val="false"/>
          <w:bCs w:val="false"/>
          <w:caps w:val="false"/>
          <w:smallCaps w:val="false"/>
          <w:color w:val="222222"/>
          <w:spacing w:val="0"/>
          <w:sz w:val="22"/>
          <w:szCs w:val="22"/>
        </w:rPr>
      </w:pPr>
      <w:r>
        <w:rPr>
          <w:rFonts w:ascii="Arial" w:hAnsi="Arial"/>
          <w:b w:val="false"/>
          <w:bCs w:val="false"/>
          <w:caps w:val="false"/>
          <w:smallCaps w:val="false"/>
          <w:color w:val="222222"/>
          <w:spacing w:val="0"/>
          <w:sz w:val="22"/>
          <w:szCs w:val="22"/>
        </w:rPr>
        <w:t>“</w:t>
      </w:r>
    </w:p>
    <w:p>
      <w:pPr>
        <w:pStyle w:val="Normal"/>
        <w:bidi w:val="0"/>
        <w:jc w:val="both"/>
        <w:rPr>
          <w:rFonts w:ascii="Arial" w:hAnsi="Arial"/>
          <w:b w:val="false"/>
          <w:bCs w:val="false"/>
          <w:sz w:val="22"/>
          <w:szCs w:val="22"/>
        </w:rPr>
      </w:pPr>
      <w:r>
        <w:rPr>
          <w:rFonts w:ascii="PT Serif;serif" w:hAnsi="PT Serif;serif"/>
          <w:b w:val="false"/>
          <w:bCs w:val="false"/>
          <w:i/>
          <w:iCs/>
          <w:caps w:val="false"/>
          <w:smallCaps w:val="false"/>
          <w:color w:val="222222"/>
          <w:spacing w:val="0"/>
          <w:sz w:val="22"/>
          <w:szCs w:val="22"/>
        </w:rPr>
        <w:t>“</w:t>
      </w:r>
      <w:r>
        <w:rPr>
          <w:rFonts w:ascii="PT Serif;serif" w:hAnsi="PT Serif;serif"/>
          <w:b w:val="false"/>
          <w:bCs w:val="false"/>
          <w:i/>
          <w:iCs/>
          <w:caps w:val="false"/>
          <w:smallCaps w:val="false"/>
          <w:color w:val="222222"/>
          <w:spacing w:val="0"/>
          <w:sz w:val="22"/>
          <w:szCs w:val="22"/>
        </w:rPr>
        <w:t>Il Parco Archeologico di </w:t>
      </w:r>
      <w:r>
        <w:rPr>
          <w:rStyle w:val="Emphasis"/>
          <w:rFonts w:ascii="PT Serif;serif" w:hAnsi="PT Serif;serif"/>
          <w:b w:val="false"/>
          <w:bCs w:val="false"/>
          <w:i/>
          <w:iCs/>
          <w:color w:val="222222"/>
          <w:spacing w:val="0"/>
          <w:sz w:val="22"/>
          <w:szCs w:val="22"/>
        </w:rPr>
        <w:t>Grumentum</w:t>
      </w:r>
      <w:r>
        <w:rPr>
          <w:rFonts w:ascii="Arial" w:hAnsi="Arial"/>
          <w:b w:val="false"/>
          <w:bCs w:val="false"/>
          <w:i/>
          <w:iCs/>
          <w:caps w:val="false"/>
          <w:smallCaps w:val="false"/>
          <w:color w:val="222222"/>
          <w:spacing w:val="0"/>
          <w:sz w:val="22"/>
          <w:szCs w:val="22"/>
        </w:rPr>
        <w:t> </w:t>
      </w:r>
      <w:r>
        <w:rPr>
          <w:rFonts w:ascii="PT Serif;serif" w:hAnsi="PT Serif;serif"/>
          <w:b w:val="false"/>
          <w:bCs w:val="false"/>
          <w:i/>
          <w:iCs/>
          <w:caps w:val="false"/>
          <w:smallCaps w:val="false"/>
          <w:color w:val="222222"/>
          <w:spacing w:val="0"/>
          <w:sz w:val="22"/>
          <w:szCs w:val="22"/>
        </w:rPr>
        <w:t>conserva, all’interno di un contesto paesaggistico di eccezionale suggestione, i resti della principale città romana della Lucania antica. Inizialmente piccolo centro lucano del III sec. a.C., fu attraversato da Annibale durante la seconda guerra punica e, a seguito del processo di romanizzazione, fu monumentalizzato nella prima età imperiale. Il sito, esempio unico in Basilicata di impianto urbano romano ben leggibile, permette una visita attraverso gli spazi pubblici e privati della città romana, ancora delineati dalla regolarità degli assi stradali antichi”</w:t>
      </w:r>
    </w:p>
    <w:p>
      <w:pPr>
        <w:pStyle w:val="Normal"/>
        <w:bidi w:val="0"/>
        <w:jc w:val="both"/>
        <w:rPr>
          <w:rFonts w:ascii="Arial" w:hAnsi="Arial"/>
          <w:b w:val="false"/>
          <w:bCs w:val="false"/>
          <w:i/>
          <w:i/>
          <w:iCs/>
          <w:sz w:val="22"/>
          <w:szCs w:val="22"/>
        </w:rPr>
      </w:pPr>
      <w:r>
        <w:rPr>
          <w:rFonts w:ascii="Arial" w:hAnsi="Arial"/>
          <w:b w:val="false"/>
          <w:bCs w:val="false"/>
          <w:i/>
          <w:iCs/>
          <w:sz w:val="22"/>
          <w:szCs w:val="22"/>
        </w:rPr>
        <w:t xml:space="preserve"> </w:t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i w:val="false"/>
          <w:i w:val="false"/>
          <w:iCs w:val="false"/>
          <w:sz w:val="21"/>
          <w:szCs w:val="21"/>
        </w:rPr>
      </w:pPr>
      <w:r>
        <w:rPr>
          <w:rFonts w:ascii="Google Sans;Arial;sans-serif" w:hAnsi="Google Sans;Arial;sans-serif"/>
          <w:b w:val="false"/>
          <w:bCs w:val="false"/>
          <w:i w:val="false"/>
          <w:iCs w:val="false"/>
          <w:caps w:val="false"/>
          <w:smallCaps w:val="false"/>
          <w:color w:val="202124"/>
          <w:spacing w:val="0"/>
          <w:sz w:val="21"/>
          <w:szCs w:val="21"/>
        </w:rPr>
        <w:t>Museo Archeologico Nazionale Dell'Alta Val D'Agri e Parco Archeologico di Grumentum</w:t>
      </w:r>
      <w:r>
        <w:rPr>
          <w:rFonts w:ascii="Arial" w:hAnsi="Arial"/>
          <w:b w:val="false"/>
          <w:bCs w:val="false"/>
          <w:i w:val="false"/>
          <w:iCs w:val="false"/>
          <w:sz w:val="21"/>
          <w:szCs w:val="21"/>
        </w:rPr>
        <w:t xml:space="preserve">, </w:t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i w:val="false"/>
          <w:i w:val="false"/>
          <w:iCs w:val="false"/>
          <w:sz w:val="21"/>
          <w:szCs w:val="21"/>
        </w:rPr>
      </w:pPr>
      <w:r>
        <w:rPr>
          <w:rFonts w:ascii="Arial" w:hAnsi="Arial"/>
          <w:b w:val="false"/>
          <w:bCs w:val="false"/>
          <w:i w:val="false"/>
          <w:iCs w:val="false"/>
          <w:sz w:val="21"/>
          <w:szCs w:val="21"/>
        </w:rPr>
        <w:t xml:space="preserve">Contrada Spineta, Grumento Nova, </w:t>
      </w:r>
      <w:r>
        <w:rPr>
          <w:rFonts w:ascii="Arial" w:hAnsi="Arial"/>
          <w:b w:val="false"/>
          <w:bCs w:val="false"/>
          <w:i w:val="false"/>
          <w:iCs w:val="false"/>
          <w:sz w:val="21"/>
          <w:szCs w:val="21"/>
        </w:rPr>
        <w:t xml:space="preserve">Basilicata </w:t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i w:val="false"/>
          <w:i w:val="false"/>
          <w:iCs w:val="false"/>
          <w:sz w:val="21"/>
          <w:szCs w:val="21"/>
        </w:rPr>
      </w:pPr>
      <w:r>
        <w:rPr>
          <w:rFonts w:ascii="Arial" w:hAnsi="Arial"/>
          <w:b w:val="false"/>
          <w:bCs w:val="false"/>
          <w:i w:val="false"/>
          <w:iCs w:val="false"/>
          <w:sz w:val="21"/>
          <w:szCs w:val="21"/>
        </w:rPr>
        <w:t>D</w:t>
      </w:r>
      <w:r>
        <w:rPr>
          <w:rFonts w:ascii="Arial" w:hAnsi="Arial"/>
          <w:b w:val="false"/>
          <w:bCs w:val="false"/>
          <w:i w:val="false"/>
          <w:iCs w:val="false"/>
          <w:sz w:val="21"/>
          <w:szCs w:val="21"/>
        </w:rPr>
        <w:t>irettore: Francesco Tarlano</w:t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i w:val="false"/>
          <w:i w:val="false"/>
          <w:iCs w:val="false"/>
          <w:sz w:val="21"/>
          <w:szCs w:val="21"/>
        </w:rPr>
      </w:pPr>
      <w:r>
        <w:rPr>
          <w:rFonts w:ascii="Arial" w:hAnsi="Arial"/>
          <w:b w:val="false"/>
          <w:bCs w:val="false"/>
          <w:i w:val="false"/>
          <w:iCs w:val="false"/>
          <w:sz w:val="21"/>
          <w:szCs w:val="21"/>
        </w:rPr>
        <w:t>Tel. +39 0975 65074</w:t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i w:val="false"/>
          <w:i w:val="false"/>
          <w:iCs w:val="false"/>
          <w:sz w:val="21"/>
          <w:szCs w:val="21"/>
        </w:rPr>
      </w:pPr>
      <w:hyperlink r:id="rId6">
        <w:r>
          <w:rPr>
            <w:rStyle w:val="Hyperlink"/>
            <w:rFonts w:ascii="Arial" w:hAnsi="Arial"/>
            <w:b w:val="false"/>
            <w:bCs w:val="false"/>
            <w:i w:val="false"/>
            <w:iCs w:val="false"/>
            <w:sz w:val="21"/>
            <w:szCs w:val="21"/>
          </w:rPr>
          <w:t>https://museoaltavaldagri.beniculturali.it/grumentum-il-parco/</w:t>
        </w:r>
      </w:hyperlink>
    </w:p>
    <w:p>
      <w:pPr>
        <w:pStyle w:val="Normal"/>
        <w:bidi w:val="0"/>
        <w:jc w:val="center"/>
        <w:rPr>
          <w:rFonts w:ascii="Arial" w:hAnsi="Arial"/>
          <w:b w:val="false"/>
          <w:bCs w:val="false"/>
          <w:i w:val="false"/>
          <w:i w:val="false"/>
          <w:iCs w:val="false"/>
          <w:sz w:val="21"/>
          <w:szCs w:val="21"/>
        </w:rPr>
      </w:pPr>
      <w:r>
        <w:rPr>
          <w:rFonts w:ascii="Arial" w:hAnsi="Arial"/>
          <w:b w:val="false"/>
          <w:bCs w:val="false"/>
          <w:i w:val="false"/>
          <w:iCs w:val="false"/>
          <w:sz w:val="21"/>
          <w:szCs w:val="21"/>
        </w:rPr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i w:val="false"/>
          <w:i w:val="false"/>
          <w:iCs w:val="false"/>
          <w:sz w:val="21"/>
          <w:szCs w:val="21"/>
        </w:rPr>
      </w:pPr>
      <w:r>
        <w:rPr>
          <w:rFonts w:ascii="Arial" w:hAnsi="Arial"/>
          <w:b w:val="false"/>
          <w:bCs w:val="false"/>
          <w:i w:val="false"/>
          <w:iCs w:val="false"/>
          <w:sz w:val="21"/>
          <w:szCs w:val="21"/>
        </w:rPr>
      </w:r>
    </w:p>
    <w:p>
      <w:pPr>
        <w:pStyle w:val="Normal"/>
        <w:bidi w:val="0"/>
        <w:jc w:val="center"/>
        <w:rPr>
          <w:rFonts w:ascii="Arial" w:hAnsi="Arial"/>
          <w:b w:val="false"/>
          <w:bCs w:val="false"/>
          <w:i w:val="false"/>
          <w:i w:val="false"/>
          <w:iCs w:val="false"/>
          <w:sz w:val="21"/>
          <w:szCs w:val="21"/>
        </w:rPr>
      </w:pPr>
      <w:r>
        <w:rPr>
          <w:rFonts w:ascii="Arial" w:hAnsi="Arial"/>
          <w:b w:val="false"/>
          <w:bCs w:val="false"/>
          <w:i w:val="false"/>
          <w:iCs w:val="false"/>
          <w:sz w:val="21"/>
          <w:szCs w:val="21"/>
        </w:rPr>
        <w:t>info:+39 3421915423 - +39 3391965866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  <w:font w:name="Google Sans">
    <w:altName w:val="Arial"/>
    <w:charset w:val="00" w:characterSet="windows-1252"/>
    <w:family w:val="auto"/>
    <w:pitch w:val="default"/>
  </w:font>
  <w:font w:name="PT Serif">
    <w:altName w:val="serif"/>
    <w:charset w:val="00" w:characterSet="windows-1252"/>
    <w:family w:val="auto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0"/>
  <w:compat>
    <w:compatSetting w:name="compatibilityMode" w:uri="http://schemas.microsoft.com/office/word" w:val="15"/>
    <w:compatSetting w:name="useWord2013TrackBottomHyphenation" w:uri="http://schemas.microsoft.com/office/word" w:val="1"/>
    <w:compatSetting w:name="allowHyphenationAtTrackBottom" w:uri="http://schemas.microsoft.com/office/word" w:val="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it-IT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paragraph" w:styleId="Heading3">
    <w:name w:val="heading 3"/>
    <w:basedOn w:val="Titolo"/>
    <w:next w:val="BodyText"/>
    <w:qFormat/>
    <w:pPr>
      <w:numPr>
        <w:ilvl w:val="0"/>
        <w:numId w:val="0"/>
      </w:numPr>
      <w:spacing w:before="140" w:after="120"/>
      <w:outlineLvl w:val="2"/>
    </w:pPr>
    <w:rPr>
      <w:rFonts w:ascii="Liberation Serif" w:hAnsi="Liberation Serif" w:eastAsia="NSimSun" w:cs="Lucida Sans"/>
      <w:b/>
      <w:bCs/>
      <w:sz w:val="28"/>
      <w:szCs w:val="28"/>
    </w:rPr>
  </w:style>
  <w:style w:type="character" w:styleId="Emphasis">
    <w:name w:val="Emphasis"/>
    <w:qFormat/>
    <w:rPr>
      <w:i/>
      <w:iCs/>
    </w:rPr>
  </w:style>
  <w:style w:type="character" w:styleId="Hyperlink">
    <w:name w:val="Hyperlink"/>
    <w:rPr>
      <w:color w:val="000080"/>
      <w:u w:val="single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hyperlink" Target="https://museoaltavaldagri.beniculturali.it/grumentum-il-parco/" TargetMode="Externa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21</TotalTime>
  <Application>LibreOffice/25.2.4.3$Windows_X86_64 LibreOffice_project/33e196637044ead23f5c3226cde09b47731f7e27</Application>
  <AppVersion>15.0000</AppVersion>
  <Pages>2</Pages>
  <Words>671</Words>
  <Characters>4022</Characters>
  <CharactersWithSpaces>4821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2025-06-17T09:18:07Z</dcterms:created>
  <dc:creator/>
  <dc:description/>
  <dc:language>it-IT</dc:language>
  <cp:lastModifiedBy/>
  <dcterms:modified xsi:type="dcterms:W3CDTF">2025-08-04T12:27:13Z</dcterms:modified>
  <cp:revision>4</cp:revision>
  <dc:subject/>
  <dc:title/>
</cp:coreProperties>
</file>