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75" w:rsidRDefault="00271775" w:rsidP="000B0448">
      <w:pPr>
        <w:spacing w:after="0"/>
        <w:rPr>
          <w:b/>
          <w:i/>
          <w:color w:val="00B050"/>
          <w:sz w:val="36"/>
          <w:szCs w:val="36"/>
        </w:rPr>
      </w:pPr>
    </w:p>
    <w:p w:rsidR="00A441F8" w:rsidRPr="000B0448" w:rsidRDefault="000B0448" w:rsidP="00745875">
      <w:pPr>
        <w:spacing w:after="0"/>
        <w:jc w:val="center"/>
        <w:rPr>
          <w:b/>
          <w:i/>
          <w:color w:val="00B050"/>
          <w:sz w:val="32"/>
          <w:szCs w:val="36"/>
        </w:rPr>
      </w:pPr>
      <w:r w:rsidRPr="000B0448">
        <w:rPr>
          <w:b/>
          <w:i/>
          <w:color w:val="00B050"/>
          <w:sz w:val="32"/>
          <w:szCs w:val="36"/>
        </w:rPr>
        <w:t xml:space="preserve">Appuntamento al Polo del ‘900 con </w:t>
      </w:r>
      <w:r w:rsidR="00271775" w:rsidRPr="000B0448">
        <w:rPr>
          <w:b/>
          <w:i/>
          <w:color w:val="00B050"/>
          <w:sz w:val="32"/>
          <w:szCs w:val="36"/>
        </w:rPr>
        <w:t xml:space="preserve">la mostra </w:t>
      </w:r>
      <w:r w:rsidR="00BE4FEC" w:rsidRPr="000B0448">
        <w:rPr>
          <w:b/>
          <w:i/>
          <w:color w:val="00B050"/>
          <w:sz w:val="32"/>
          <w:szCs w:val="36"/>
        </w:rPr>
        <w:t>Futuri passati</w:t>
      </w:r>
      <w:r w:rsidRPr="000B0448">
        <w:rPr>
          <w:b/>
          <w:i/>
          <w:color w:val="00B050"/>
          <w:sz w:val="32"/>
          <w:szCs w:val="36"/>
        </w:rPr>
        <w:t>:</w:t>
      </w:r>
    </w:p>
    <w:p w:rsidR="00271775" w:rsidRDefault="00271775" w:rsidP="00745875">
      <w:pPr>
        <w:spacing w:after="0"/>
        <w:jc w:val="center"/>
        <w:rPr>
          <w:b/>
          <w:i/>
          <w:color w:val="00B050"/>
          <w:sz w:val="32"/>
          <w:szCs w:val="36"/>
        </w:rPr>
      </w:pPr>
      <w:r w:rsidRPr="000B0448">
        <w:rPr>
          <w:b/>
          <w:i/>
          <w:color w:val="00B050"/>
          <w:sz w:val="32"/>
          <w:szCs w:val="36"/>
        </w:rPr>
        <w:t>viaggio fra parole, immagini, visioni del futuro</w:t>
      </w:r>
      <w:r w:rsidR="00ED64F2">
        <w:rPr>
          <w:b/>
          <w:i/>
          <w:color w:val="00B050"/>
          <w:sz w:val="32"/>
          <w:szCs w:val="36"/>
        </w:rPr>
        <w:t>,</w:t>
      </w:r>
    </w:p>
    <w:p w:rsidR="00F705B8" w:rsidRPr="000B0448" w:rsidRDefault="00F705B8" w:rsidP="00745875">
      <w:pPr>
        <w:spacing w:after="0"/>
        <w:jc w:val="center"/>
        <w:rPr>
          <w:b/>
          <w:i/>
          <w:color w:val="00B050"/>
          <w:sz w:val="32"/>
          <w:szCs w:val="36"/>
        </w:rPr>
      </w:pPr>
      <w:r>
        <w:rPr>
          <w:b/>
          <w:i/>
          <w:color w:val="00B050"/>
          <w:sz w:val="32"/>
          <w:szCs w:val="36"/>
        </w:rPr>
        <w:t>fra ‘900 e 2000</w:t>
      </w:r>
    </w:p>
    <w:p w:rsidR="000B0448" w:rsidRDefault="000B0448" w:rsidP="00745875">
      <w:pPr>
        <w:spacing w:after="0"/>
        <w:jc w:val="center"/>
        <w:rPr>
          <w:b/>
          <w:i/>
          <w:color w:val="00B050"/>
          <w:sz w:val="36"/>
          <w:szCs w:val="36"/>
        </w:rPr>
      </w:pPr>
    </w:p>
    <w:p w:rsidR="000B0448" w:rsidRDefault="000B0448" w:rsidP="00C03BA0">
      <w:pPr>
        <w:spacing w:after="0"/>
        <w:jc w:val="center"/>
        <w:rPr>
          <w:b/>
          <w:color w:val="00B050"/>
          <w:sz w:val="28"/>
          <w:szCs w:val="36"/>
        </w:rPr>
      </w:pPr>
      <w:r w:rsidRPr="000B0448">
        <w:rPr>
          <w:b/>
          <w:color w:val="00B050"/>
          <w:sz w:val="28"/>
          <w:szCs w:val="36"/>
        </w:rPr>
        <w:t xml:space="preserve">Inaugurazione: </w:t>
      </w:r>
    </w:p>
    <w:p w:rsidR="000B0448" w:rsidRPr="000B0448" w:rsidRDefault="000B0448" w:rsidP="00C03BA0">
      <w:pPr>
        <w:spacing w:after="0"/>
        <w:jc w:val="center"/>
        <w:rPr>
          <w:b/>
          <w:i/>
          <w:color w:val="00B050"/>
          <w:sz w:val="28"/>
          <w:szCs w:val="36"/>
        </w:rPr>
      </w:pPr>
      <w:r w:rsidRPr="000B0448">
        <w:rPr>
          <w:b/>
          <w:color w:val="00B050"/>
          <w:sz w:val="28"/>
          <w:szCs w:val="36"/>
        </w:rPr>
        <w:t>29 marzo</w:t>
      </w:r>
      <w:r w:rsidRPr="000B0448">
        <w:rPr>
          <w:b/>
          <w:i/>
          <w:color w:val="00B050"/>
          <w:sz w:val="28"/>
          <w:szCs w:val="36"/>
        </w:rPr>
        <w:t xml:space="preserve"> 2019, ore 18.00, Sala 900</w:t>
      </w:r>
    </w:p>
    <w:p w:rsidR="000B0448" w:rsidRPr="00C03BA0" w:rsidRDefault="000B0448" w:rsidP="00C03BA0">
      <w:pPr>
        <w:spacing w:after="0"/>
        <w:jc w:val="center"/>
        <w:rPr>
          <w:b/>
          <w:i/>
          <w:color w:val="00B050"/>
          <w:sz w:val="36"/>
          <w:szCs w:val="36"/>
        </w:rPr>
      </w:pPr>
      <w:r w:rsidRPr="000B0448">
        <w:rPr>
          <w:b/>
          <w:i/>
          <w:color w:val="00B050"/>
          <w:sz w:val="28"/>
          <w:szCs w:val="36"/>
        </w:rPr>
        <w:t>Via del Carmine, 14</w:t>
      </w:r>
    </w:p>
    <w:p w:rsidR="00A441F8" w:rsidRDefault="00A441F8">
      <w:pPr>
        <w:widowControl w:val="0"/>
        <w:spacing w:after="0" w:line="240" w:lineRule="auto"/>
        <w:jc w:val="both"/>
        <w:rPr>
          <w:b/>
          <w:color w:val="00B050"/>
          <w:sz w:val="32"/>
          <w:szCs w:val="36"/>
        </w:rPr>
      </w:pPr>
    </w:p>
    <w:p w:rsidR="00745875" w:rsidRDefault="005C4747" w:rsidP="002F115F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F4733">
        <w:rPr>
          <w:rFonts w:ascii="Times New Roman" w:hAnsi="Times New Roman" w:cs="Times New Roman"/>
          <w:sz w:val="24"/>
          <w:szCs w:val="24"/>
        </w:rPr>
        <w:t>Nel corso del Novecento,</w:t>
      </w:r>
      <w:r w:rsidR="008959A8" w:rsidRPr="00CF4733">
        <w:rPr>
          <w:rFonts w:ascii="Times New Roman" w:hAnsi="Times New Roman" w:cs="Times New Roman"/>
          <w:sz w:val="24"/>
          <w:szCs w:val="24"/>
        </w:rPr>
        <w:t xml:space="preserve"> intellettuali, scrittori, artisti, registi</w:t>
      </w:r>
      <w:r w:rsidR="00A10D79">
        <w:rPr>
          <w:rFonts w:ascii="Times New Roman" w:hAnsi="Times New Roman" w:cs="Times New Roman"/>
          <w:sz w:val="24"/>
          <w:szCs w:val="24"/>
        </w:rPr>
        <w:t xml:space="preserve"> si sono interrogati</w:t>
      </w:r>
      <w:r w:rsidR="008959A8" w:rsidRPr="00CF4733">
        <w:rPr>
          <w:rFonts w:ascii="Times New Roman" w:hAnsi="Times New Roman" w:cs="Times New Roman"/>
          <w:sz w:val="24"/>
          <w:szCs w:val="24"/>
        </w:rPr>
        <w:t xml:space="preserve"> </w:t>
      </w:r>
      <w:r w:rsidR="00606584" w:rsidRPr="00CF4733">
        <w:rPr>
          <w:rFonts w:ascii="Times New Roman" w:hAnsi="Times New Roman" w:cs="Times New Roman"/>
          <w:sz w:val="24"/>
          <w:szCs w:val="24"/>
        </w:rPr>
        <w:t xml:space="preserve">su quello che sarebbe </w:t>
      </w:r>
      <w:r w:rsidR="00CF4733">
        <w:rPr>
          <w:rFonts w:ascii="Times New Roman" w:hAnsi="Times New Roman" w:cs="Times New Roman"/>
          <w:sz w:val="24"/>
          <w:szCs w:val="24"/>
        </w:rPr>
        <w:t>accaduto</w:t>
      </w:r>
      <w:r w:rsidR="00606584" w:rsidRPr="00CF4733">
        <w:rPr>
          <w:rFonts w:ascii="Times New Roman" w:hAnsi="Times New Roman" w:cs="Times New Roman"/>
          <w:sz w:val="24"/>
          <w:szCs w:val="24"/>
        </w:rPr>
        <w:t xml:space="preserve"> nel </w:t>
      </w:r>
      <w:r w:rsidR="00606584" w:rsidRPr="00F57C98">
        <w:rPr>
          <w:rFonts w:ascii="Times New Roman" w:hAnsi="Times New Roman" w:cs="Times New Roman"/>
          <w:sz w:val="24"/>
          <w:szCs w:val="24"/>
        </w:rPr>
        <w:t>lontano 2000</w:t>
      </w:r>
      <w:r w:rsidR="007068AC">
        <w:rPr>
          <w:rFonts w:ascii="Times New Roman" w:hAnsi="Times New Roman" w:cs="Times New Roman"/>
          <w:sz w:val="24"/>
          <w:szCs w:val="24"/>
        </w:rPr>
        <w:t xml:space="preserve">. </w:t>
      </w:r>
      <w:r w:rsidR="009308FC">
        <w:rPr>
          <w:rFonts w:ascii="Times New Roman" w:hAnsi="Times New Roman" w:cs="Times New Roman"/>
          <w:sz w:val="24"/>
          <w:szCs w:val="24"/>
        </w:rPr>
        <w:t xml:space="preserve">Così hanno </w:t>
      </w:r>
      <w:r w:rsidR="00A10D79">
        <w:rPr>
          <w:rFonts w:ascii="Times New Roman" w:hAnsi="Times New Roman" w:cs="Times New Roman"/>
          <w:sz w:val="24"/>
          <w:szCs w:val="24"/>
        </w:rPr>
        <w:t>cominciato ad immaginare</w:t>
      </w:r>
      <w:r w:rsidR="008959A8" w:rsidRPr="00CF4733">
        <w:rPr>
          <w:rFonts w:ascii="Times New Roman" w:hAnsi="Times New Roman" w:cs="Times New Roman"/>
          <w:sz w:val="24"/>
          <w:szCs w:val="24"/>
        </w:rPr>
        <w:t xml:space="preserve"> futuri mondi possibili, città fantastiche e ipertecnologiche, una </w:t>
      </w:r>
      <w:r w:rsidR="00941366">
        <w:rPr>
          <w:rFonts w:ascii="Times New Roman" w:hAnsi="Times New Roman" w:cs="Times New Roman"/>
          <w:sz w:val="24"/>
          <w:szCs w:val="24"/>
        </w:rPr>
        <w:t>quotidianità</w:t>
      </w:r>
      <w:r w:rsidR="007068AC">
        <w:rPr>
          <w:rFonts w:ascii="Times New Roman" w:hAnsi="Times New Roman" w:cs="Times New Roman"/>
          <w:sz w:val="24"/>
          <w:szCs w:val="24"/>
        </w:rPr>
        <w:t xml:space="preserve"> </w:t>
      </w:r>
      <w:r w:rsidR="008959A8" w:rsidRPr="00CF4733">
        <w:rPr>
          <w:rFonts w:ascii="Times New Roman" w:hAnsi="Times New Roman" w:cs="Times New Roman"/>
          <w:sz w:val="24"/>
          <w:szCs w:val="24"/>
        </w:rPr>
        <w:t xml:space="preserve">dominata da macchine volanti e robot tuttofare. </w:t>
      </w:r>
      <w:r w:rsidR="00475479">
        <w:rPr>
          <w:rFonts w:ascii="Times New Roman" w:hAnsi="Times New Roman" w:cs="Times New Roman"/>
          <w:sz w:val="24"/>
          <w:szCs w:val="24"/>
        </w:rPr>
        <w:t>Da un lato, q</w:t>
      </w:r>
      <w:r w:rsidR="007068AC">
        <w:rPr>
          <w:rFonts w:ascii="Times New Roman" w:hAnsi="Times New Roman" w:cs="Times New Roman"/>
          <w:sz w:val="24"/>
          <w:szCs w:val="24"/>
        </w:rPr>
        <w:t>ueste</w:t>
      </w:r>
      <w:r w:rsidR="008959A8" w:rsidRPr="00CF4733">
        <w:rPr>
          <w:rFonts w:ascii="Times New Roman" w:hAnsi="Times New Roman" w:cs="Times New Roman"/>
          <w:sz w:val="24"/>
          <w:szCs w:val="24"/>
        </w:rPr>
        <w:t xml:space="preserve"> visioni</w:t>
      </w:r>
      <w:r w:rsidR="007068AC">
        <w:rPr>
          <w:rFonts w:ascii="Times New Roman" w:hAnsi="Times New Roman" w:cs="Times New Roman"/>
          <w:sz w:val="24"/>
          <w:szCs w:val="24"/>
        </w:rPr>
        <w:t xml:space="preserve"> </w:t>
      </w:r>
      <w:r w:rsidR="00941366">
        <w:rPr>
          <w:rFonts w:ascii="Times New Roman" w:hAnsi="Times New Roman" w:cs="Times New Roman"/>
          <w:sz w:val="24"/>
          <w:szCs w:val="24"/>
        </w:rPr>
        <w:t xml:space="preserve">di futuro </w:t>
      </w:r>
      <w:r w:rsidR="0068044E">
        <w:rPr>
          <w:rFonts w:ascii="Times New Roman" w:hAnsi="Times New Roman" w:cs="Times New Roman"/>
          <w:sz w:val="24"/>
          <w:szCs w:val="24"/>
        </w:rPr>
        <w:t>sono</w:t>
      </w:r>
      <w:r w:rsidR="00745875">
        <w:rPr>
          <w:rFonts w:ascii="Times New Roman" w:hAnsi="Times New Roman" w:cs="Times New Roman"/>
          <w:sz w:val="24"/>
          <w:szCs w:val="24"/>
        </w:rPr>
        <w:t xml:space="preserve"> state</w:t>
      </w:r>
      <w:r w:rsidR="0068044E">
        <w:rPr>
          <w:rFonts w:ascii="Times New Roman" w:hAnsi="Times New Roman" w:cs="Times New Roman"/>
          <w:sz w:val="24"/>
          <w:szCs w:val="24"/>
        </w:rPr>
        <w:t xml:space="preserve"> il frutto</w:t>
      </w:r>
      <w:r w:rsidR="00475479">
        <w:rPr>
          <w:rFonts w:ascii="Times New Roman" w:hAnsi="Times New Roman" w:cs="Times New Roman"/>
          <w:sz w:val="24"/>
          <w:szCs w:val="24"/>
        </w:rPr>
        <w:t xml:space="preserve"> </w:t>
      </w:r>
      <w:r w:rsidR="00606584" w:rsidRPr="00CF4733">
        <w:rPr>
          <w:rFonts w:ascii="Times New Roman" w:hAnsi="Times New Roman" w:cs="Times New Roman"/>
          <w:sz w:val="24"/>
          <w:szCs w:val="24"/>
        </w:rPr>
        <w:t>d</w:t>
      </w:r>
      <w:r w:rsidR="0068044E">
        <w:rPr>
          <w:rFonts w:ascii="Times New Roman" w:hAnsi="Times New Roman" w:cs="Times New Roman"/>
          <w:sz w:val="24"/>
          <w:szCs w:val="24"/>
        </w:rPr>
        <w:t>i</w:t>
      </w:r>
      <w:r w:rsidR="008959A8" w:rsidRPr="00CF4733">
        <w:rPr>
          <w:rFonts w:ascii="Times New Roman" w:hAnsi="Times New Roman" w:cs="Times New Roman"/>
          <w:sz w:val="24"/>
          <w:szCs w:val="24"/>
        </w:rPr>
        <w:t xml:space="preserve"> </w:t>
      </w:r>
      <w:r w:rsidR="00AC7161">
        <w:rPr>
          <w:rFonts w:ascii="Times New Roman" w:hAnsi="Times New Roman" w:cs="Times New Roman"/>
          <w:sz w:val="24"/>
          <w:szCs w:val="24"/>
        </w:rPr>
        <w:t xml:space="preserve">suggestioni fantastiche e </w:t>
      </w:r>
      <w:r w:rsidR="008959A8" w:rsidRPr="00CF4733">
        <w:rPr>
          <w:rFonts w:ascii="Times New Roman" w:hAnsi="Times New Roman" w:cs="Times New Roman"/>
          <w:sz w:val="24"/>
          <w:szCs w:val="24"/>
        </w:rPr>
        <w:t>fantascienza</w:t>
      </w:r>
      <w:r w:rsidR="00606584" w:rsidRPr="00CF4733">
        <w:rPr>
          <w:rFonts w:ascii="Times New Roman" w:hAnsi="Times New Roman" w:cs="Times New Roman"/>
          <w:sz w:val="24"/>
          <w:szCs w:val="24"/>
        </w:rPr>
        <w:t>;</w:t>
      </w:r>
      <w:r w:rsidR="008959A8" w:rsidRPr="00CF4733">
        <w:rPr>
          <w:rFonts w:ascii="Times New Roman" w:hAnsi="Times New Roman" w:cs="Times New Roman"/>
          <w:sz w:val="24"/>
          <w:szCs w:val="24"/>
        </w:rPr>
        <w:t xml:space="preserve"> dall’altro, </w:t>
      </w:r>
      <w:r w:rsidR="00475479">
        <w:rPr>
          <w:rFonts w:ascii="Times New Roman" w:hAnsi="Times New Roman" w:cs="Times New Roman"/>
          <w:sz w:val="24"/>
          <w:szCs w:val="24"/>
        </w:rPr>
        <w:t xml:space="preserve">hanno preso vita </w:t>
      </w:r>
      <w:r w:rsidR="008959A8" w:rsidRPr="00CF4733">
        <w:rPr>
          <w:rFonts w:ascii="Times New Roman" w:hAnsi="Times New Roman" w:cs="Times New Roman"/>
          <w:sz w:val="24"/>
          <w:szCs w:val="24"/>
        </w:rPr>
        <w:t>d</w:t>
      </w:r>
      <w:r w:rsidR="00475479">
        <w:rPr>
          <w:rFonts w:ascii="Times New Roman" w:hAnsi="Times New Roman" w:cs="Times New Roman"/>
          <w:sz w:val="24"/>
          <w:szCs w:val="24"/>
        </w:rPr>
        <w:t>a</w:t>
      </w:r>
      <w:r w:rsidR="0068044E">
        <w:rPr>
          <w:rFonts w:ascii="Times New Roman" w:hAnsi="Times New Roman" w:cs="Times New Roman"/>
          <w:sz w:val="24"/>
          <w:szCs w:val="24"/>
        </w:rPr>
        <w:t>ll’</w:t>
      </w:r>
      <w:r w:rsidR="00606584" w:rsidRPr="00CF4733">
        <w:rPr>
          <w:rFonts w:ascii="Times New Roman" w:hAnsi="Times New Roman" w:cs="Times New Roman"/>
          <w:sz w:val="24"/>
          <w:szCs w:val="24"/>
        </w:rPr>
        <w:t>osservazione della</w:t>
      </w:r>
      <w:r w:rsidR="008959A8" w:rsidRPr="00CF4733">
        <w:rPr>
          <w:rFonts w:ascii="Times New Roman" w:hAnsi="Times New Roman" w:cs="Times New Roman"/>
          <w:sz w:val="24"/>
          <w:szCs w:val="24"/>
        </w:rPr>
        <w:t xml:space="preserve"> </w:t>
      </w:r>
      <w:r w:rsidRPr="00CF4733">
        <w:rPr>
          <w:rFonts w:ascii="Times New Roman" w:hAnsi="Times New Roman" w:cs="Times New Roman"/>
          <w:sz w:val="24"/>
          <w:szCs w:val="24"/>
        </w:rPr>
        <w:t xml:space="preserve">realtà circostante, </w:t>
      </w:r>
      <w:r w:rsidR="00606584" w:rsidRPr="00CF4733">
        <w:rPr>
          <w:rFonts w:ascii="Times New Roman" w:hAnsi="Times New Roman" w:cs="Times New Roman"/>
          <w:sz w:val="24"/>
          <w:szCs w:val="24"/>
        </w:rPr>
        <w:t>d</w:t>
      </w:r>
      <w:r w:rsidR="00F57C98">
        <w:rPr>
          <w:rFonts w:ascii="Times New Roman" w:hAnsi="Times New Roman" w:cs="Times New Roman"/>
          <w:sz w:val="24"/>
          <w:szCs w:val="24"/>
        </w:rPr>
        <w:t>a</w:t>
      </w:r>
      <w:r w:rsidR="00606584" w:rsidRPr="00CF4733">
        <w:rPr>
          <w:rFonts w:ascii="Times New Roman" w:hAnsi="Times New Roman" w:cs="Times New Roman"/>
          <w:sz w:val="24"/>
          <w:szCs w:val="24"/>
        </w:rPr>
        <w:t>l</w:t>
      </w:r>
      <w:r w:rsidRPr="00CF4733">
        <w:rPr>
          <w:rFonts w:ascii="Times New Roman" w:hAnsi="Times New Roman" w:cs="Times New Roman"/>
          <w:sz w:val="24"/>
          <w:szCs w:val="24"/>
        </w:rPr>
        <w:t xml:space="preserve"> progresso crescente</w:t>
      </w:r>
      <w:r w:rsidR="008959A8" w:rsidRPr="00CF4733">
        <w:rPr>
          <w:rFonts w:ascii="Times New Roman" w:hAnsi="Times New Roman" w:cs="Times New Roman"/>
          <w:sz w:val="24"/>
          <w:szCs w:val="24"/>
        </w:rPr>
        <w:t xml:space="preserve"> e</w:t>
      </w:r>
      <w:r w:rsidRPr="00CF4733">
        <w:rPr>
          <w:rFonts w:ascii="Times New Roman" w:hAnsi="Times New Roman" w:cs="Times New Roman"/>
          <w:sz w:val="24"/>
          <w:szCs w:val="24"/>
        </w:rPr>
        <w:t xml:space="preserve"> </w:t>
      </w:r>
      <w:r w:rsidR="00606584" w:rsidRPr="00CF4733">
        <w:rPr>
          <w:rFonts w:ascii="Times New Roman" w:hAnsi="Times New Roman" w:cs="Times New Roman"/>
          <w:sz w:val="24"/>
          <w:szCs w:val="24"/>
        </w:rPr>
        <w:t>d</w:t>
      </w:r>
      <w:r w:rsidR="00F57C98">
        <w:rPr>
          <w:rFonts w:ascii="Times New Roman" w:hAnsi="Times New Roman" w:cs="Times New Roman"/>
          <w:sz w:val="24"/>
          <w:szCs w:val="24"/>
        </w:rPr>
        <w:t>a</w:t>
      </w:r>
      <w:r w:rsidR="00606584" w:rsidRPr="00CF4733">
        <w:rPr>
          <w:rFonts w:ascii="Times New Roman" w:hAnsi="Times New Roman" w:cs="Times New Roman"/>
          <w:sz w:val="24"/>
          <w:szCs w:val="24"/>
        </w:rPr>
        <w:t xml:space="preserve">lle </w:t>
      </w:r>
      <w:r w:rsidRPr="00CF4733">
        <w:rPr>
          <w:rFonts w:ascii="Times New Roman" w:hAnsi="Times New Roman" w:cs="Times New Roman"/>
          <w:sz w:val="24"/>
          <w:szCs w:val="24"/>
        </w:rPr>
        <w:t>tecnologie in evoluzione</w:t>
      </w:r>
      <w:r w:rsidR="007458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775" w:rsidRDefault="002F115F" w:rsidP="002F115F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Difatti, non è un caso che</w:t>
      </w:r>
      <w:r w:rsidR="00A10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nel corso del </w:t>
      </w:r>
      <w:r w:rsidR="00F57C98">
        <w:rPr>
          <w:rFonts w:ascii="Times New Roman" w:hAnsi="Times New Roman" w:cs="Times New Roman"/>
          <w:sz w:val="24"/>
          <w:szCs w:val="24"/>
        </w:rPr>
        <w:t>Novecento</w:t>
      </w:r>
      <w:r w:rsidRPr="002F115F">
        <w:rPr>
          <w:rFonts w:ascii="Times New Roman" w:hAnsi="Times New Roman" w:cs="Times New Roman"/>
          <w:sz w:val="24"/>
          <w:szCs w:val="24"/>
        </w:rPr>
        <w:t>, contraddistinto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15F">
        <w:rPr>
          <w:rFonts w:ascii="Times New Roman" w:hAnsi="Times New Roman" w:cs="Times New Roman"/>
          <w:sz w:val="24"/>
          <w:szCs w:val="24"/>
        </w:rPr>
        <w:t xml:space="preserve">un impatto scientifico e tecnologico senza pari, </w:t>
      </w:r>
      <w:r>
        <w:rPr>
          <w:rFonts w:ascii="Times New Roman" w:hAnsi="Times New Roman" w:cs="Times New Roman"/>
          <w:sz w:val="24"/>
          <w:szCs w:val="24"/>
        </w:rPr>
        <w:t xml:space="preserve">comincia a prendere forma la </w:t>
      </w:r>
      <w:r w:rsidRPr="00475479">
        <w:rPr>
          <w:rFonts w:ascii="Times New Roman" w:hAnsi="Times New Roman" w:cs="Times New Roman"/>
          <w:b/>
          <w:sz w:val="24"/>
          <w:szCs w:val="24"/>
        </w:rPr>
        <w:t>“</w:t>
      </w:r>
      <w:hyperlink r:id="rId7" w:history="1">
        <w:r w:rsidRPr="00BF4D2B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Futurologia</w:t>
        </w:r>
      </w:hyperlink>
      <w:r w:rsidRPr="00475479">
        <w:rPr>
          <w:rFonts w:ascii="Times New Roman" w:hAnsi="Times New Roman" w:cs="Times New Roman"/>
          <w:b/>
          <w:sz w:val="24"/>
          <w:szCs w:val="24"/>
        </w:rPr>
        <w:t>”</w:t>
      </w:r>
      <w:r w:rsidRPr="004754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una disciplina che a differenza della fantascienza </w:t>
      </w:r>
      <w:r w:rsidRPr="002F115F">
        <w:rPr>
          <w:rFonts w:ascii="Times New Roman" w:hAnsi="Times New Roman" w:cs="Times New Roman"/>
          <w:sz w:val="24"/>
          <w:szCs w:val="24"/>
        </w:rPr>
        <w:t xml:space="preserve">non </w:t>
      </w:r>
      <w:r w:rsidR="00271775">
        <w:rPr>
          <w:rFonts w:ascii="Times New Roman" w:hAnsi="Times New Roman" w:cs="Times New Roman"/>
          <w:sz w:val="24"/>
          <w:szCs w:val="24"/>
        </w:rPr>
        <w:t>inventa</w:t>
      </w:r>
      <w:r w:rsidRPr="002F115F">
        <w:rPr>
          <w:rFonts w:ascii="Times New Roman" w:hAnsi="Times New Roman" w:cs="Times New Roman"/>
          <w:sz w:val="24"/>
          <w:szCs w:val="24"/>
        </w:rPr>
        <w:t xml:space="preserve"> mondi fantastici, ma trae le sue radici nei discorsi scientifici e muove </w:t>
      </w:r>
      <w:r w:rsidR="009308FC">
        <w:rPr>
          <w:rFonts w:ascii="Times New Roman" w:hAnsi="Times New Roman" w:cs="Times New Roman"/>
          <w:sz w:val="24"/>
          <w:szCs w:val="24"/>
        </w:rPr>
        <w:t xml:space="preserve">le proprie </w:t>
      </w:r>
      <w:r w:rsidRPr="002F115F">
        <w:rPr>
          <w:rFonts w:ascii="Times New Roman" w:hAnsi="Times New Roman" w:cs="Times New Roman"/>
          <w:sz w:val="24"/>
          <w:szCs w:val="24"/>
        </w:rPr>
        <w:t>considerazioni</w:t>
      </w:r>
      <w:r w:rsidR="007068AC">
        <w:rPr>
          <w:rFonts w:ascii="Times New Roman" w:hAnsi="Times New Roman" w:cs="Times New Roman"/>
          <w:sz w:val="24"/>
          <w:szCs w:val="24"/>
        </w:rPr>
        <w:t xml:space="preserve"> </w:t>
      </w:r>
      <w:r w:rsidR="00271775">
        <w:rPr>
          <w:rFonts w:ascii="Times New Roman" w:hAnsi="Times New Roman" w:cs="Times New Roman"/>
          <w:sz w:val="24"/>
          <w:szCs w:val="24"/>
        </w:rPr>
        <w:t xml:space="preserve">a partire </w:t>
      </w:r>
      <w:r w:rsidRPr="002F115F">
        <w:rPr>
          <w:rFonts w:ascii="Times New Roman" w:hAnsi="Times New Roman" w:cs="Times New Roman"/>
          <w:sz w:val="24"/>
          <w:szCs w:val="24"/>
        </w:rPr>
        <w:t>da un’approfondita conoscenza della tecnologia contemporanea.</w:t>
      </w:r>
      <w:r w:rsidR="007068AC">
        <w:rPr>
          <w:rFonts w:ascii="Times New Roman" w:hAnsi="Times New Roman" w:cs="Times New Roman"/>
          <w:sz w:val="24"/>
          <w:szCs w:val="24"/>
        </w:rPr>
        <w:t xml:space="preserve"> </w:t>
      </w:r>
      <w:r w:rsidR="0068044E">
        <w:rPr>
          <w:rFonts w:ascii="Times New Roman" w:hAnsi="Times New Roman" w:cs="Times New Roman"/>
          <w:sz w:val="24"/>
          <w:szCs w:val="24"/>
        </w:rPr>
        <w:t xml:space="preserve">Con l’avvento del 2000 e della rivoluzione digitale torna </w:t>
      </w:r>
      <w:r w:rsidR="00C0111D">
        <w:rPr>
          <w:rFonts w:ascii="Times New Roman" w:hAnsi="Times New Roman" w:cs="Times New Roman"/>
          <w:sz w:val="24"/>
          <w:szCs w:val="24"/>
        </w:rPr>
        <w:t>l</w:t>
      </w:r>
      <w:r w:rsidR="0068044E">
        <w:rPr>
          <w:rFonts w:ascii="Times New Roman" w:hAnsi="Times New Roman" w:cs="Times New Roman"/>
          <w:sz w:val="24"/>
          <w:szCs w:val="24"/>
        </w:rPr>
        <w:t xml:space="preserve">a </w:t>
      </w:r>
      <w:r w:rsidR="00C0111D">
        <w:rPr>
          <w:rFonts w:ascii="Times New Roman" w:hAnsi="Times New Roman" w:cs="Times New Roman"/>
          <w:sz w:val="24"/>
          <w:szCs w:val="24"/>
        </w:rPr>
        <w:t xml:space="preserve">necessità di </w:t>
      </w:r>
      <w:r w:rsidR="0068044E">
        <w:rPr>
          <w:rFonts w:ascii="Times New Roman" w:hAnsi="Times New Roman" w:cs="Times New Roman"/>
          <w:sz w:val="24"/>
          <w:szCs w:val="24"/>
        </w:rPr>
        <w:t xml:space="preserve">immaginare il futuro, cercando di </w:t>
      </w:r>
      <w:r w:rsidR="00F57C98">
        <w:rPr>
          <w:rFonts w:ascii="Times New Roman" w:hAnsi="Times New Roman" w:cs="Times New Roman"/>
          <w:sz w:val="24"/>
          <w:szCs w:val="24"/>
        </w:rPr>
        <w:t>“</w:t>
      </w:r>
      <w:r w:rsidR="0068044E">
        <w:rPr>
          <w:rFonts w:ascii="Times New Roman" w:hAnsi="Times New Roman" w:cs="Times New Roman"/>
          <w:sz w:val="24"/>
          <w:szCs w:val="24"/>
        </w:rPr>
        <w:t>prevedere</w:t>
      </w:r>
      <w:r w:rsidR="00F57C98">
        <w:rPr>
          <w:rFonts w:ascii="Times New Roman" w:hAnsi="Times New Roman" w:cs="Times New Roman"/>
          <w:sz w:val="24"/>
          <w:szCs w:val="24"/>
        </w:rPr>
        <w:t>”</w:t>
      </w:r>
      <w:r w:rsidR="0068044E">
        <w:rPr>
          <w:rFonts w:ascii="Times New Roman" w:hAnsi="Times New Roman" w:cs="Times New Roman"/>
          <w:sz w:val="24"/>
          <w:szCs w:val="24"/>
        </w:rPr>
        <w:t xml:space="preserve"> cosa ci aspetta nel prossimo domani.</w:t>
      </w:r>
    </w:p>
    <w:p w:rsidR="00A10D79" w:rsidRPr="002F115F" w:rsidRDefault="0068044E" w:rsidP="00C0111D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La mostra </w:t>
      </w:r>
      <w:r w:rsidRPr="00475479">
        <w:rPr>
          <w:rFonts w:ascii="Times New Roman" w:hAnsi="Times New Roman" w:cs="Times New Roman"/>
          <w:b/>
          <w:i/>
          <w:sz w:val="24"/>
          <w:szCs w:val="24"/>
        </w:rPr>
        <w:t>Futuri Passati</w:t>
      </w:r>
      <w:r>
        <w:rPr>
          <w:rFonts w:ascii="Times New Roman" w:hAnsi="Times New Roman" w:cs="Times New Roman"/>
          <w:sz w:val="24"/>
          <w:szCs w:val="24"/>
        </w:rPr>
        <w:t xml:space="preserve">, che inaugura </w:t>
      </w:r>
      <w:r w:rsidR="00271775">
        <w:rPr>
          <w:rFonts w:ascii="Times New Roman" w:hAnsi="Times New Roman" w:cs="Times New Roman"/>
          <w:sz w:val="24"/>
          <w:szCs w:val="24"/>
        </w:rPr>
        <w:t xml:space="preserve">il </w:t>
      </w:r>
      <w:r w:rsidR="00271775" w:rsidRPr="00271775">
        <w:rPr>
          <w:rFonts w:ascii="Times New Roman" w:hAnsi="Times New Roman" w:cs="Times New Roman"/>
          <w:b/>
          <w:sz w:val="24"/>
          <w:szCs w:val="24"/>
        </w:rPr>
        <w:t>29 marzo alle ore 18.00</w:t>
      </w:r>
      <w:r w:rsidR="00271775">
        <w:rPr>
          <w:rFonts w:ascii="Times New Roman" w:hAnsi="Times New Roman" w:cs="Times New Roman"/>
          <w:sz w:val="24"/>
          <w:szCs w:val="24"/>
        </w:rPr>
        <w:t>, presso il Polo del ‘900</w:t>
      </w:r>
      <w:r w:rsidR="00F705B8">
        <w:rPr>
          <w:rFonts w:ascii="Times New Roman" w:hAnsi="Times New Roman" w:cs="Times New Roman"/>
          <w:sz w:val="24"/>
          <w:szCs w:val="24"/>
        </w:rPr>
        <w:t>,</w:t>
      </w:r>
      <w:r w:rsidR="00271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nell’ambito di Biennale Democrazia,</w:t>
      </w:r>
      <w:r w:rsidR="00C0111D" w:rsidRPr="00C0111D">
        <w:rPr>
          <w:rFonts w:ascii="Times New Roman" w:hAnsi="Times New Roman" w:cs="Times New Roman"/>
          <w:sz w:val="24"/>
          <w:szCs w:val="24"/>
        </w:rPr>
        <w:t xml:space="preserve"> offre una panoramica della</w:t>
      </w:r>
      <w:r w:rsidR="00C0111D">
        <w:rPr>
          <w:rFonts w:ascii="Times New Roman" w:hAnsi="Times New Roman" w:cs="Times New Roman"/>
          <w:sz w:val="24"/>
          <w:szCs w:val="24"/>
        </w:rPr>
        <w:t xml:space="preserve"> </w:t>
      </w:r>
      <w:r w:rsidR="00C0111D" w:rsidRPr="00C0111D">
        <w:rPr>
          <w:rFonts w:ascii="Times New Roman" w:hAnsi="Times New Roman" w:cs="Times New Roman"/>
          <w:sz w:val="24"/>
          <w:szCs w:val="24"/>
        </w:rPr>
        <w:t>Futurologia declinata tra</w:t>
      </w:r>
      <w:r w:rsidR="00665186">
        <w:rPr>
          <w:rFonts w:ascii="Times New Roman" w:hAnsi="Times New Roman" w:cs="Times New Roman"/>
          <w:sz w:val="24"/>
          <w:szCs w:val="24"/>
        </w:rPr>
        <w:t xml:space="preserve"> cinema,</w:t>
      </w:r>
      <w:r w:rsidR="00C0111D" w:rsidRPr="00C0111D">
        <w:rPr>
          <w:rFonts w:ascii="Times New Roman" w:hAnsi="Times New Roman" w:cs="Times New Roman"/>
          <w:sz w:val="24"/>
          <w:szCs w:val="24"/>
        </w:rPr>
        <w:t xml:space="preserve"> letteratura, </w:t>
      </w:r>
      <w:r w:rsidR="00941366">
        <w:rPr>
          <w:rFonts w:ascii="Times New Roman" w:hAnsi="Times New Roman" w:cs="Times New Roman"/>
          <w:sz w:val="24"/>
          <w:szCs w:val="24"/>
        </w:rPr>
        <w:t>arte</w:t>
      </w:r>
      <w:r w:rsidR="00665186">
        <w:rPr>
          <w:rFonts w:ascii="Times New Roman" w:hAnsi="Times New Roman" w:cs="Times New Roman"/>
          <w:sz w:val="24"/>
          <w:szCs w:val="24"/>
        </w:rPr>
        <w:t xml:space="preserve"> e</w:t>
      </w:r>
      <w:r w:rsidR="00941366">
        <w:rPr>
          <w:rFonts w:ascii="Times New Roman" w:hAnsi="Times New Roman" w:cs="Times New Roman"/>
          <w:sz w:val="24"/>
          <w:szCs w:val="24"/>
        </w:rPr>
        <w:t xml:space="preserve"> </w:t>
      </w:r>
      <w:r w:rsidR="004B5525">
        <w:rPr>
          <w:rFonts w:ascii="Times New Roman" w:hAnsi="Times New Roman" w:cs="Times New Roman"/>
          <w:sz w:val="24"/>
          <w:szCs w:val="24"/>
        </w:rPr>
        <w:t>fotografia.</w:t>
      </w:r>
      <w:r w:rsidR="009308FC">
        <w:rPr>
          <w:rFonts w:ascii="Times New Roman" w:hAnsi="Times New Roman" w:cs="Times New Roman"/>
          <w:sz w:val="24"/>
          <w:szCs w:val="24"/>
        </w:rPr>
        <w:t xml:space="preserve"> </w:t>
      </w:r>
      <w:r w:rsidR="004B5525" w:rsidRPr="004B5525">
        <w:rPr>
          <w:rFonts w:ascii="Times New Roman" w:hAnsi="Times New Roman" w:cs="Times New Roman"/>
          <w:sz w:val="24"/>
          <w:szCs w:val="24"/>
        </w:rPr>
        <w:t>Trailer cinematografici, classici della letteratura alla prima edizione, robot d'</w:t>
      </w:r>
      <w:proofErr w:type="spellStart"/>
      <w:r w:rsidR="004B5525" w:rsidRPr="004B5525">
        <w:rPr>
          <w:rFonts w:ascii="Times New Roman" w:hAnsi="Times New Roman" w:cs="Times New Roman"/>
          <w:sz w:val="24"/>
          <w:szCs w:val="24"/>
        </w:rPr>
        <w:t>antan</w:t>
      </w:r>
      <w:proofErr w:type="spellEnd"/>
      <w:r w:rsidR="004B5525" w:rsidRPr="004B5525">
        <w:rPr>
          <w:rFonts w:ascii="Times New Roman" w:hAnsi="Times New Roman" w:cs="Times New Roman"/>
          <w:sz w:val="24"/>
          <w:szCs w:val="24"/>
        </w:rPr>
        <w:t>, trasmissioni televisive con contributi sul futuro di figure come Italo Calvino e Umberto Eco, cartoline antiche dal gusto cyberpunk costruiscono un percorso espositivo dal duplice sguardo.</w:t>
      </w:r>
      <w:r w:rsidR="004B5525">
        <w:rPr>
          <w:rFonts w:ascii="Times New Roman" w:hAnsi="Times New Roman" w:cs="Times New Roman"/>
          <w:sz w:val="24"/>
          <w:szCs w:val="24"/>
        </w:rPr>
        <w:t xml:space="preserve"> </w:t>
      </w:r>
      <w:r w:rsidR="00C0111D">
        <w:rPr>
          <w:rFonts w:ascii="Times New Roman" w:hAnsi="Times New Roman" w:cs="Times New Roman"/>
          <w:sz w:val="24"/>
          <w:szCs w:val="24"/>
        </w:rPr>
        <w:t>D</w:t>
      </w:r>
      <w:r w:rsidR="00C0111D" w:rsidRPr="00C0111D">
        <w:rPr>
          <w:rFonts w:ascii="Times New Roman" w:hAnsi="Times New Roman" w:cs="Times New Roman"/>
          <w:sz w:val="24"/>
          <w:szCs w:val="24"/>
        </w:rPr>
        <w:t>a una parte il ‘900 che guarda il 20</w:t>
      </w:r>
      <w:r w:rsidR="00C0111D">
        <w:rPr>
          <w:rFonts w:ascii="Times New Roman" w:hAnsi="Times New Roman" w:cs="Times New Roman"/>
          <w:sz w:val="24"/>
          <w:szCs w:val="24"/>
        </w:rPr>
        <w:t>00,</w:t>
      </w:r>
      <w:r w:rsidR="00C0111D" w:rsidRPr="00C0111D">
        <w:rPr>
          <w:rFonts w:ascii="Times New Roman" w:hAnsi="Times New Roman" w:cs="Times New Roman"/>
          <w:sz w:val="24"/>
          <w:szCs w:val="24"/>
        </w:rPr>
        <w:t xml:space="preserve"> secolo della rivoluzione</w:t>
      </w:r>
      <w:r w:rsidR="00C0111D">
        <w:rPr>
          <w:rFonts w:ascii="Times New Roman" w:hAnsi="Times New Roman" w:cs="Times New Roman"/>
          <w:sz w:val="24"/>
          <w:szCs w:val="24"/>
        </w:rPr>
        <w:t xml:space="preserve"> </w:t>
      </w:r>
      <w:r w:rsidR="00C0111D" w:rsidRPr="00C0111D">
        <w:rPr>
          <w:rFonts w:ascii="Times New Roman" w:hAnsi="Times New Roman" w:cs="Times New Roman"/>
          <w:sz w:val="24"/>
          <w:szCs w:val="24"/>
        </w:rPr>
        <w:t>industriale matura, il secolo dell’atomica e del nucleare, dei primi calcolatori e dello</w:t>
      </w:r>
      <w:r w:rsidR="00C0111D">
        <w:rPr>
          <w:rFonts w:ascii="Times New Roman" w:hAnsi="Times New Roman" w:cs="Times New Roman"/>
          <w:sz w:val="24"/>
          <w:szCs w:val="24"/>
        </w:rPr>
        <w:t xml:space="preserve"> </w:t>
      </w:r>
      <w:r w:rsidR="00C0111D" w:rsidRPr="00C0111D">
        <w:rPr>
          <w:rFonts w:ascii="Times New Roman" w:hAnsi="Times New Roman" w:cs="Times New Roman"/>
          <w:sz w:val="24"/>
          <w:szCs w:val="24"/>
        </w:rPr>
        <w:t>sviluppo delle società evolute. E dall’altra il 2000 con il digitale che sente la necessità</w:t>
      </w:r>
      <w:r w:rsidR="00C0111D">
        <w:rPr>
          <w:rFonts w:ascii="Times New Roman" w:hAnsi="Times New Roman" w:cs="Times New Roman"/>
          <w:sz w:val="24"/>
          <w:szCs w:val="24"/>
        </w:rPr>
        <w:t xml:space="preserve"> </w:t>
      </w:r>
      <w:r w:rsidR="00C0111D" w:rsidRPr="00C0111D">
        <w:rPr>
          <w:rFonts w:ascii="Times New Roman" w:hAnsi="Times New Roman" w:cs="Times New Roman"/>
          <w:sz w:val="24"/>
          <w:szCs w:val="24"/>
        </w:rPr>
        <w:t xml:space="preserve">di sostenere il cambio di paradigma della nuova rivoluzione tecnologica. </w:t>
      </w:r>
      <w:r w:rsidR="00711EDF">
        <w:rPr>
          <w:rFonts w:ascii="Times New Roman" w:hAnsi="Times New Roman" w:cs="Times New Roman"/>
          <w:sz w:val="24"/>
          <w:szCs w:val="24"/>
        </w:rPr>
        <w:t xml:space="preserve">Intorno alle parole: utopia, distopia, città, scienza e tecnologia si </w:t>
      </w:r>
      <w:r w:rsidR="004B5525">
        <w:rPr>
          <w:rFonts w:ascii="Times New Roman" w:hAnsi="Times New Roman" w:cs="Times New Roman"/>
          <w:sz w:val="24"/>
          <w:szCs w:val="24"/>
        </w:rPr>
        <w:t>costruisce una mostra</w:t>
      </w:r>
      <w:r w:rsidR="00F57C98">
        <w:rPr>
          <w:rFonts w:ascii="Times New Roman" w:hAnsi="Times New Roman" w:cs="Times New Roman"/>
          <w:sz w:val="24"/>
          <w:szCs w:val="24"/>
        </w:rPr>
        <w:t xml:space="preserve"> </w:t>
      </w:r>
      <w:r w:rsidR="00711EDF">
        <w:rPr>
          <w:rFonts w:ascii="Times New Roman" w:hAnsi="Times New Roman" w:cs="Times New Roman"/>
          <w:sz w:val="24"/>
          <w:szCs w:val="24"/>
        </w:rPr>
        <w:t xml:space="preserve">che racconta la </w:t>
      </w:r>
      <w:r w:rsidR="00F705B8" w:rsidRPr="00F705B8">
        <w:rPr>
          <w:rFonts w:ascii="Times New Roman" w:hAnsi="Times New Roman" w:cs="Times New Roman"/>
          <w:sz w:val="24"/>
          <w:szCs w:val="24"/>
        </w:rPr>
        <w:t>società occidentale contemporanea e</w:t>
      </w:r>
      <w:r w:rsidR="00F705B8">
        <w:rPr>
          <w:rFonts w:ascii="Times New Roman" w:hAnsi="Times New Roman" w:cs="Times New Roman"/>
          <w:sz w:val="24"/>
          <w:szCs w:val="24"/>
        </w:rPr>
        <w:t xml:space="preserve"> </w:t>
      </w:r>
      <w:r w:rsidR="00F705B8" w:rsidRPr="00F705B8">
        <w:rPr>
          <w:rFonts w:ascii="Times New Roman" w:hAnsi="Times New Roman" w:cs="Times New Roman"/>
          <w:sz w:val="24"/>
          <w:szCs w:val="24"/>
        </w:rPr>
        <w:t>il suo modo di specchiarsi, di proiettarsi e di narrarsi.</w:t>
      </w:r>
      <w:r w:rsidR="0047547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C03BA0" w:rsidRPr="00F705B8" w:rsidRDefault="00475479" w:rsidP="00F705B8">
      <w:pPr>
        <w:pStyle w:val="NormaleWeb"/>
        <w:shd w:val="clear" w:color="auto" w:fill="FFFFFF"/>
        <w:spacing w:before="0" w:beforeAutospacing="0" w:line="276" w:lineRule="auto"/>
        <w:jc w:val="both"/>
        <w:rPr>
          <w:i/>
        </w:rPr>
      </w:pPr>
      <w:r>
        <w:t xml:space="preserve">La mostra </w:t>
      </w:r>
      <w:r w:rsidR="004C4C62" w:rsidRPr="00475479">
        <w:rPr>
          <w:rStyle w:val="Enfasigrassetto"/>
          <w:b w:val="0"/>
          <w:i/>
        </w:rPr>
        <w:t>Futuri passati</w:t>
      </w:r>
      <w:r w:rsidR="00CF4733" w:rsidRPr="00475479">
        <w:rPr>
          <w:b/>
          <w:i/>
        </w:rPr>
        <w:t xml:space="preserve"> </w:t>
      </w:r>
      <w:r w:rsidR="00CF4733">
        <w:t xml:space="preserve">è realizzata con la </w:t>
      </w:r>
      <w:r w:rsidR="004C4C62" w:rsidRPr="00475479">
        <w:rPr>
          <w:b/>
        </w:rPr>
        <w:t>curatela scientifica</w:t>
      </w:r>
      <w:r w:rsidR="004C4C62" w:rsidRPr="00EB08A7">
        <w:t xml:space="preserve"> d</w:t>
      </w:r>
      <w:r w:rsidR="00FC3D92" w:rsidRPr="00EB08A7">
        <w:t>el docente</w:t>
      </w:r>
      <w:r w:rsidR="004C4C62" w:rsidRPr="00EB08A7">
        <w:t> </w:t>
      </w:r>
      <w:hyperlink r:id="rId8" w:history="1">
        <w:r w:rsidR="004C4C62" w:rsidRPr="00A407EF">
          <w:rPr>
            <w:rStyle w:val="Collegamentoipertestuale"/>
          </w:rPr>
          <w:t xml:space="preserve">Simone </w:t>
        </w:r>
        <w:proofErr w:type="spellStart"/>
        <w:r w:rsidR="004C4C62" w:rsidRPr="00A407EF">
          <w:rPr>
            <w:rStyle w:val="Collegamentoipertestuale"/>
          </w:rPr>
          <w:t>Arcagni</w:t>
        </w:r>
        <w:proofErr w:type="spellEnd"/>
        <w:r w:rsidR="004C4C62" w:rsidRPr="00A407EF">
          <w:rPr>
            <w:rStyle w:val="Collegamentoipertestuale"/>
          </w:rPr>
          <w:t>,</w:t>
        </w:r>
      </w:hyperlink>
      <w:r w:rsidR="004C4C62" w:rsidRPr="00EB08A7">
        <w:t xml:space="preserve"> </w:t>
      </w:r>
      <w:r w:rsidR="00F705B8">
        <w:t xml:space="preserve">con Polo del ‘900, nella cornice di Biennale Democrazia, </w:t>
      </w:r>
      <w:r w:rsidR="004C4C62" w:rsidRPr="00EB08A7">
        <w:t>in collaborazione con il Museo Diffuso della Resistenza, della Deportazione della Guerra dei Diritti e della Libertà</w:t>
      </w:r>
      <w:r w:rsidR="00905B7E" w:rsidRPr="00EB08A7">
        <w:t>,</w:t>
      </w:r>
      <w:r w:rsidR="004C4C62" w:rsidRPr="00EB08A7">
        <w:t xml:space="preserve"> </w:t>
      </w:r>
      <w:r w:rsidR="00711EDF" w:rsidRPr="00EB08A7">
        <w:t>il MUFANT</w:t>
      </w:r>
      <w:r w:rsidR="00711EDF">
        <w:t xml:space="preserve"> -</w:t>
      </w:r>
      <w:r w:rsidR="00711EDF" w:rsidRPr="00EB08A7">
        <w:t xml:space="preserve"> </w:t>
      </w:r>
      <w:proofErr w:type="spellStart"/>
      <w:r w:rsidR="00711EDF" w:rsidRPr="00EB08A7">
        <w:t>MuseoLab</w:t>
      </w:r>
      <w:proofErr w:type="spellEnd"/>
      <w:r w:rsidR="00711EDF" w:rsidRPr="00EB08A7">
        <w:t xml:space="preserve"> del </w:t>
      </w:r>
      <w:r w:rsidR="00711EDF" w:rsidRPr="00EB08A7">
        <w:lastRenderedPageBreak/>
        <w:t>Fantastico e della Fantascienza di Torino;</w:t>
      </w:r>
      <w:r w:rsidR="00F57C98">
        <w:t xml:space="preserve"> </w:t>
      </w:r>
      <w:r w:rsidR="004C4C62" w:rsidRPr="00EB08A7">
        <w:t>con la partecipazione dell’Archivio Nazionale Cinematografico della Resistenza e il sostegno della Compagnia di San Paolo.</w:t>
      </w:r>
      <w:r w:rsidR="00F06EF7">
        <w:t xml:space="preserve"> Con il patrocinio di RAI e materiali </w:t>
      </w:r>
      <w:r w:rsidR="00680957">
        <w:t>provenienti da</w:t>
      </w:r>
      <w:r w:rsidR="00F06EF7">
        <w:t xml:space="preserve"> Rai</w:t>
      </w:r>
      <w:r w:rsidR="00680957">
        <w:t xml:space="preserve"> Teche</w:t>
      </w:r>
      <w:r w:rsidR="00F06EF7">
        <w:t>.</w:t>
      </w:r>
    </w:p>
    <w:p w:rsidR="00475479" w:rsidRDefault="00F705B8" w:rsidP="0068095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497235">
        <w:rPr>
          <w:rFonts w:ascii="Times New Roman" w:hAnsi="Times New Roman" w:cs="Times New Roman"/>
          <w:sz w:val="24"/>
          <w:szCs w:val="24"/>
        </w:rPr>
        <w:t>l’inaugurazione</w:t>
      </w:r>
      <w:r w:rsidR="000026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cui partecipa </w:t>
      </w:r>
      <w:r w:rsidR="00725800">
        <w:rPr>
          <w:rFonts w:ascii="Times New Roman" w:hAnsi="Times New Roman" w:cs="Times New Roman"/>
          <w:sz w:val="24"/>
          <w:szCs w:val="24"/>
        </w:rPr>
        <w:t>Alberto Sinigaglia</w:t>
      </w:r>
      <w:r w:rsidR="00F57C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Presidente dell’Ordine dei Giornalisti Piemonte, </w:t>
      </w:r>
      <w:r w:rsidR="0000261E">
        <w:rPr>
          <w:rFonts w:ascii="Times New Roman" w:hAnsi="Times New Roman" w:cs="Times New Roman"/>
          <w:sz w:val="24"/>
          <w:szCs w:val="24"/>
        </w:rPr>
        <w:t xml:space="preserve">segue </w:t>
      </w:r>
      <w:r w:rsidR="00F56DA9">
        <w:rPr>
          <w:rFonts w:ascii="Times New Roman" w:hAnsi="Times New Roman" w:cs="Times New Roman"/>
          <w:sz w:val="24"/>
          <w:szCs w:val="24"/>
        </w:rPr>
        <w:t>il</w:t>
      </w:r>
      <w:r w:rsidR="0000261E">
        <w:rPr>
          <w:rFonts w:ascii="Times New Roman" w:hAnsi="Times New Roman" w:cs="Times New Roman"/>
          <w:sz w:val="24"/>
          <w:szCs w:val="24"/>
        </w:rPr>
        <w:t xml:space="preserve"> </w:t>
      </w:r>
      <w:r w:rsidR="00F56DA9">
        <w:rPr>
          <w:rFonts w:ascii="Times New Roman" w:hAnsi="Times New Roman" w:cs="Times New Roman"/>
          <w:sz w:val="24"/>
          <w:szCs w:val="24"/>
        </w:rPr>
        <w:t>dibattito</w:t>
      </w:r>
      <w:r w:rsidR="00497235">
        <w:rPr>
          <w:rFonts w:ascii="Times New Roman" w:hAnsi="Times New Roman" w:cs="Times New Roman"/>
          <w:sz w:val="24"/>
          <w:szCs w:val="24"/>
        </w:rPr>
        <w:t xml:space="preserve"> con il</w:t>
      </w:r>
      <w:r w:rsidR="00680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docente universitario</w:t>
      </w:r>
      <w:r w:rsidR="00475479">
        <w:rPr>
          <w:rFonts w:ascii="Times New Roman" w:hAnsi="Times New Roman" w:cs="Times New Roman"/>
          <w:sz w:val="24"/>
          <w:szCs w:val="24"/>
        </w:rPr>
        <w:t>, e curatore della mostra,</w:t>
      </w:r>
      <w:r w:rsidR="00680957">
        <w:rPr>
          <w:rFonts w:ascii="Times New Roman" w:hAnsi="Times New Roman" w:cs="Times New Roman"/>
          <w:sz w:val="24"/>
          <w:szCs w:val="24"/>
        </w:rPr>
        <w:t xml:space="preserve"> </w:t>
      </w:r>
      <w:r w:rsidR="00680957" w:rsidRPr="00F56DA9">
        <w:rPr>
          <w:rFonts w:ascii="Times New Roman" w:hAnsi="Times New Roman" w:cs="Times New Roman"/>
          <w:b/>
          <w:sz w:val="24"/>
          <w:szCs w:val="24"/>
        </w:rPr>
        <w:t xml:space="preserve">Simone </w:t>
      </w:r>
      <w:proofErr w:type="spellStart"/>
      <w:r w:rsidR="00680957" w:rsidRPr="00F56DA9">
        <w:rPr>
          <w:rFonts w:ascii="Times New Roman" w:hAnsi="Times New Roman" w:cs="Times New Roman"/>
          <w:b/>
          <w:sz w:val="24"/>
          <w:szCs w:val="24"/>
        </w:rPr>
        <w:t>Arcagni</w:t>
      </w:r>
      <w:proofErr w:type="spellEnd"/>
      <w:r w:rsidR="00941366">
        <w:rPr>
          <w:rFonts w:ascii="Times New Roman" w:hAnsi="Times New Roman" w:cs="Times New Roman"/>
          <w:sz w:val="24"/>
          <w:szCs w:val="24"/>
        </w:rPr>
        <w:t>;</w:t>
      </w:r>
      <w:r w:rsidR="00680957">
        <w:rPr>
          <w:rFonts w:ascii="Times New Roman" w:hAnsi="Times New Roman" w:cs="Times New Roman"/>
          <w:sz w:val="24"/>
          <w:szCs w:val="24"/>
        </w:rPr>
        <w:t xml:space="preserve"> lo scrittore </w:t>
      </w:r>
      <w:r w:rsidR="00905B7E" w:rsidRPr="00F56DA9">
        <w:rPr>
          <w:rFonts w:ascii="Times New Roman" w:hAnsi="Times New Roman" w:cs="Times New Roman"/>
          <w:b/>
          <w:sz w:val="24"/>
          <w:szCs w:val="24"/>
        </w:rPr>
        <w:t>Giuseppe Genna</w:t>
      </w:r>
      <w:r w:rsidR="00466B30">
        <w:rPr>
          <w:rFonts w:ascii="Times New Roman" w:hAnsi="Times New Roman" w:cs="Times New Roman"/>
          <w:sz w:val="24"/>
          <w:szCs w:val="24"/>
        </w:rPr>
        <w:t>,</w:t>
      </w:r>
      <w:r w:rsidR="002776FA" w:rsidRPr="00EB08A7">
        <w:rPr>
          <w:rFonts w:ascii="Times New Roman" w:hAnsi="Times New Roman" w:cs="Times New Roman"/>
          <w:sz w:val="24"/>
          <w:szCs w:val="24"/>
        </w:rPr>
        <w:t xml:space="preserve"> </w:t>
      </w:r>
      <w:r w:rsidR="00941366">
        <w:rPr>
          <w:rFonts w:ascii="Times New Roman" w:hAnsi="Times New Roman" w:cs="Times New Roman"/>
          <w:sz w:val="24"/>
          <w:szCs w:val="24"/>
        </w:rPr>
        <w:t xml:space="preserve">coordinati da </w:t>
      </w:r>
      <w:r w:rsidR="002776FA" w:rsidRPr="00F56DA9">
        <w:rPr>
          <w:rFonts w:ascii="Times New Roman" w:hAnsi="Times New Roman" w:cs="Times New Roman"/>
          <w:b/>
          <w:sz w:val="24"/>
          <w:szCs w:val="24"/>
        </w:rPr>
        <w:t>Alessandro Bollo</w:t>
      </w:r>
      <w:r w:rsidR="002776FA" w:rsidRPr="00EB08A7">
        <w:rPr>
          <w:rFonts w:ascii="Times New Roman" w:hAnsi="Times New Roman" w:cs="Times New Roman"/>
          <w:sz w:val="24"/>
          <w:szCs w:val="24"/>
        </w:rPr>
        <w:t>, direttore del Polo del ‘900</w:t>
      </w:r>
      <w:r w:rsidR="00907571">
        <w:rPr>
          <w:rFonts w:ascii="Times New Roman" w:hAnsi="Times New Roman" w:cs="Times New Roman"/>
          <w:sz w:val="24"/>
          <w:szCs w:val="24"/>
        </w:rPr>
        <w:t>,</w:t>
      </w:r>
      <w:r w:rsidR="00EB08A7" w:rsidRPr="00EB08A7">
        <w:rPr>
          <w:rFonts w:ascii="Times New Roman" w:hAnsi="Times New Roman" w:cs="Times New Roman"/>
          <w:sz w:val="24"/>
          <w:szCs w:val="24"/>
        </w:rPr>
        <w:t xml:space="preserve"> che </w:t>
      </w:r>
      <w:r w:rsidR="00497235">
        <w:rPr>
          <w:rFonts w:ascii="Times New Roman" w:hAnsi="Times New Roman" w:cs="Times New Roman"/>
          <w:sz w:val="24"/>
          <w:szCs w:val="24"/>
        </w:rPr>
        <w:t xml:space="preserve">a partire dai contenuti della mostra, </w:t>
      </w:r>
      <w:r w:rsidR="00907571">
        <w:rPr>
          <w:rFonts w:ascii="Times New Roman" w:hAnsi="Times New Roman" w:cs="Times New Roman"/>
          <w:sz w:val="24"/>
          <w:szCs w:val="24"/>
        </w:rPr>
        <w:t>sollecita</w:t>
      </w:r>
      <w:r w:rsidR="00466B30">
        <w:rPr>
          <w:rFonts w:ascii="Times New Roman" w:hAnsi="Times New Roman" w:cs="Times New Roman"/>
          <w:sz w:val="24"/>
          <w:szCs w:val="24"/>
        </w:rPr>
        <w:t>no</w:t>
      </w:r>
      <w:r w:rsidR="00907571">
        <w:rPr>
          <w:rFonts w:ascii="Times New Roman" w:hAnsi="Times New Roman" w:cs="Times New Roman"/>
          <w:sz w:val="24"/>
          <w:szCs w:val="24"/>
        </w:rPr>
        <w:t xml:space="preserve"> una riflessione sulle visioni possibili che il nostro presente permette per il futuro.</w:t>
      </w:r>
      <w:bookmarkStart w:id="1" w:name="_hrrbd3y89tm" w:colFirst="0" w:colLast="0"/>
      <w:bookmarkEnd w:id="1"/>
      <w:r w:rsidR="00F56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C98" w:rsidRDefault="00F56DA9" w:rsidP="0071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DA9">
        <w:rPr>
          <w:rFonts w:ascii="Times New Roman" w:hAnsi="Times New Roman" w:cs="Times New Roman"/>
          <w:sz w:val="24"/>
          <w:szCs w:val="24"/>
        </w:rPr>
        <w:t>La mostra è ad</w:t>
      </w:r>
      <w:r w:rsidRPr="00F56DA9">
        <w:rPr>
          <w:rFonts w:ascii="Times New Roman" w:hAnsi="Times New Roman" w:cs="Times New Roman"/>
          <w:b/>
          <w:sz w:val="24"/>
          <w:szCs w:val="24"/>
        </w:rPr>
        <w:t xml:space="preserve"> accesso gratuito </w:t>
      </w:r>
      <w:r w:rsidRPr="00F56DA9">
        <w:rPr>
          <w:rFonts w:ascii="Times New Roman" w:hAnsi="Times New Roman" w:cs="Times New Roman"/>
          <w:sz w:val="24"/>
          <w:szCs w:val="24"/>
        </w:rPr>
        <w:t>e sarà visibile</w:t>
      </w:r>
      <w:r w:rsidR="00711EDF">
        <w:rPr>
          <w:rFonts w:ascii="Times New Roman" w:hAnsi="Times New Roman" w:cs="Times New Roman"/>
          <w:sz w:val="24"/>
          <w:szCs w:val="24"/>
        </w:rPr>
        <w:t xml:space="preserve"> dal 30 marzo</w:t>
      </w:r>
      <w:r w:rsidRPr="00F56DA9">
        <w:rPr>
          <w:rFonts w:ascii="Times New Roman" w:hAnsi="Times New Roman" w:cs="Times New Roman"/>
          <w:sz w:val="24"/>
          <w:szCs w:val="24"/>
        </w:rPr>
        <w:t xml:space="preserve"> al 7 aprile 2019</w:t>
      </w:r>
      <w:r w:rsidR="00F57C98">
        <w:rPr>
          <w:rFonts w:ascii="Times New Roman" w:hAnsi="Times New Roman" w:cs="Times New Roman"/>
          <w:sz w:val="24"/>
          <w:szCs w:val="24"/>
        </w:rPr>
        <w:t>.</w:t>
      </w:r>
    </w:p>
    <w:p w:rsidR="00711EDF" w:rsidRPr="00F56DA9" w:rsidRDefault="00F57C98" w:rsidP="0071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</w:t>
      </w:r>
      <w:r w:rsidR="00711EDF">
        <w:rPr>
          <w:rFonts w:ascii="Times New Roman" w:hAnsi="Times New Roman" w:cs="Times New Roman"/>
          <w:sz w:val="24"/>
          <w:szCs w:val="24"/>
        </w:rPr>
        <w:t xml:space="preserve"> orari</w:t>
      </w:r>
      <w:r>
        <w:rPr>
          <w:rFonts w:ascii="Times New Roman" w:hAnsi="Times New Roman" w:cs="Times New Roman"/>
          <w:sz w:val="24"/>
          <w:szCs w:val="24"/>
        </w:rPr>
        <w:t xml:space="preserve"> di apertura al pubblico</w:t>
      </w:r>
      <w:r w:rsidR="00711E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EDF">
        <w:rPr>
          <w:rFonts w:ascii="Times New Roman" w:hAnsi="Times New Roman" w:cs="Times New Roman"/>
          <w:sz w:val="24"/>
          <w:szCs w:val="24"/>
        </w:rPr>
        <w:t>30/31 marzo dalle 9.00 alle 21.00;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EDF">
        <w:rPr>
          <w:rFonts w:ascii="Times New Roman" w:hAnsi="Times New Roman" w:cs="Times New Roman"/>
          <w:sz w:val="24"/>
          <w:szCs w:val="24"/>
        </w:rPr>
        <w:t>1/7 aprile dalle 10.00 alle 18.00.</w:t>
      </w:r>
    </w:p>
    <w:p w:rsidR="00ED64F2" w:rsidRDefault="00ED64F2">
      <w:pPr>
        <w:widowControl w:val="0"/>
        <w:spacing w:line="331" w:lineRule="auto"/>
        <w:ind w:right="-7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bookmarkStart w:id="2" w:name="_2ow794xe1q0p" w:colFirst="0" w:colLast="0"/>
      <w:bookmarkEnd w:id="2"/>
    </w:p>
    <w:p w:rsidR="00C03BA0" w:rsidRDefault="00F10381">
      <w:pPr>
        <w:widowControl w:val="0"/>
        <w:spacing w:line="331" w:lineRule="auto"/>
        <w:ind w:right="-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</w:p>
    <w:p w:rsidR="00A441F8" w:rsidRPr="00C03BA0" w:rsidRDefault="00F10381" w:rsidP="00C8457F">
      <w:pPr>
        <w:widowControl w:val="0"/>
        <w:tabs>
          <w:tab w:val="left" w:pos="3415"/>
        </w:tabs>
        <w:spacing w:line="331" w:lineRule="auto"/>
        <w:ind w:right="-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color w:val="333333"/>
          <w:sz w:val="23"/>
          <w:szCs w:val="23"/>
        </w:rPr>
        <w:t>Il Polo del ‘900 è sostenuto da:</w:t>
      </w:r>
      <w:r w:rsidR="00C8457F">
        <w:rPr>
          <w:color w:val="333333"/>
          <w:sz w:val="23"/>
          <w:szCs w:val="23"/>
        </w:rPr>
        <w:tab/>
      </w:r>
    </w:p>
    <w:tbl>
      <w:tblPr>
        <w:tblStyle w:val="a"/>
        <w:tblW w:w="9638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212"/>
        <w:gridCol w:w="3213"/>
        <w:gridCol w:w="3213"/>
      </w:tblGrid>
      <w:tr w:rsidR="00A441F8">
        <w:trPr>
          <w:trHeight w:val="1680"/>
        </w:trPr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441F8" w:rsidRDefault="00F10381">
            <w:pPr>
              <w:widowControl w:val="0"/>
              <w:spacing w:after="0" w:line="240" w:lineRule="auto"/>
              <w:jc w:val="center"/>
              <w:rPr>
                <w:color w:val="333333"/>
                <w:sz w:val="23"/>
                <w:szCs w:val="23"/>
              </w:rPr>
            </w:pPr>
            <w:r>
              <w:rPr>
                <w:noProof/>
                <w:color w:val="333333"/>
                <w:sz w:val="23"/>
                <w:szCs w:val="23"/>
              </w:rPr>
              <w:drawing>
                <wp:inline distT="114300" distB="114300" distL="114300" distR="114300">
                  <wp:extent cx="1587436" cy="478624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436" cy="4786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441F8" w:rsidRDefault="00F10381">
            <w:pPr>
              <w:widowControl w:val="0"/>
              <w:spacing w:after="0" w:line="240" w:lineRule="auto"/>
              <w:jc w:val="center"/>
              <w:rPr>
                <w:color w:val="333333"/>
                <w:sz w:val="23"/>
                <w:szCs w:val="23"/>
              </w:rPr>
            </w:pPr>
            <w:r>
              <w:rPr>
                <w:noProof/>
                <w:color w:val="333333"/>
                <w:sz w:val="23"/>
                <w:szCs w:val="23"/>
              </w:rPr>
              <w:drawing>
                <wp:inline distT="114300" distB="114300" distL="114300" distR="114300">
                  <wp:extent cx="1063561" cy="380304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561" cy="3803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441F8" w:rsidRDefault="00F10381">
            <w:pPr>
              <w:widowControl w:val="0"/>
              <w:spacing w:after="0" w:line="240" w:lineRule="auto"/>
              <w:jc w:val="center"/>
              <w:rPr>
                <w:color w:val="333333"/>
                <w:sz w:val="23"/>
                <w:szCs w:val="23"/>
              </w:rPr>
            </w:pPr>
            <w:r>
              <w:rPr>
                <w:noProof/>
                <w:color w:val="333333"/>
                <w:sz w:val="23"/>
                <w:szCs w:val="23"/>
              </w:rPr>
              <w:drawing>
                <wp:inline distT="114300" distB="114300" distL="114300" distR="114300">
                  <wp:extent cx="1292161" cy="44975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161" cy="4497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5800" w:rsidRDefault="00725800" w:rsidP="00C03BA0">
      <w:bookmarkStart w:id="3" w:name="_1ci93xb" w:colFirst="0" w:colLast="0"/>
      <w:bookmarkStart w:id="4" w:name="_n1gi35z5mk7l" w:colFirst="0" w:colLast="0"/>
      <w:bookmarkEnd w:id="3"/>
      <w:bookmarkEnd w:id="4"/>
    </w:p>
    <w:p w:rsidR="00725800" w:rsidRDefault="00725800" w:rsidP="00C03BA0"/>
    <w:p w:rsidR="00475479" w:rsidRDefault="00475479" w:rsidP="00C03BA0"/>
    <w:p w:rsidR="00C03BA0" w:rsidRDefault="00C03BA0" w:rsidP="00C03BA0">
      <w:r>
        <w:t>Ufficio stampa Fondazione Polo del ‘900</w:t>
      </w:r>
    </w:p>
    <w:p w:rsidR="00A441F8" w:rsidRDefault="00C03BA0" w:rsidP="00C03BA0">
      <w:r>
        <w:t xml:space="preserve">Sonia Vacca│ </w:t>
      </w:r>
      <w:hyperlink r:id="rId12" w:history="1">
        <w:r w:rsidRPr="004A0FC0">
          <w:rPr>
            <w:rStyle w:val="Collegamentoipertestuale"/>
          </w:rPr>
          <w:t>sonia.vacca@polodel900.it</w:t>
        </w:r>
      </w:hyperlink>
      <w:r>
        <w:t xml:space="preserve">  </w:t>
      </w:r>
      <w:bookmarkStart w:id="5" w:name="_Hlk4504535"/>
      <w:r>
        <w:t>│</w:t>
      </w:r>
      <w:bookmarkEnd w:id="5"/>
      <w:proofErr w:type="spellStart"/>
      <w:r>
        <w:t>cell</w:t>
      </w:r>
      <w:proofErr w:type="spellEnd"/>
      <w:r>
        <w:t>. +39 335 69 90 571</w:t>
      </w:r>
    </w:p>
    <w:p w:rsidR="00C03BA0" w:rsidRDefault="00E17875" w:rsidP="00C03BA0">
      <w:r>
        <w:t>Per ulteriori info</w:t>
      </w:r>
      <w:r w:rsidR="00C03BA0">
        <w:t xml:space="preserve">│ </w:t>
      </w:r>
      <w:hyperlink r:id="rId13" w:history="1">
        <w:r w:rsidR="00C03BA0" w:rsidRPr="00C03BA0">
          <w:rPr>
            <w:rStyle w:val="Collegamentoipertestuale"/>
          </w:rPr>
          <w:t>www.polodel900.it</w:t>
        </w:r>
      </w:hyperlink>
    </w:p>
    <w:sectPr w:rsidR="00C03BA0"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2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2C" w:rsidRDefault="00A32F2C">
      <w:pPr>
        <w:spacing w:after="0" w:line="240" w:lineRule="auto"/>
      </w:pPr>
      <w:r>
        <w:separator/>
      </w:r>
    </w:p>
  </w:endnote>
  <w:endnote w:type="continuationSeparator" w:id="0">
    <w:p w:rsidR="00A32F2C" w:rsidRDefault="00A3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F8" w:rsidRDefault="00F103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B5525">
      <w:rPr>
        <w:noProof/>
        <w:color w:val="000000"/>
      </w:rPr>
      <w:t>2</w:t>
    </w:r>
    <w:r>
      <w:rPr>
        <w:color w:val="000000"/>
      </w:rPr>
      <w:fldChar w:fldCharType="end"/>
    </w:r>
  </w:p>
  <w:p w:rsidR="00A441F8" w:rsidRDefault="00A441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F8" w:rsidRDefault="00F103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916940"/>
          <wp:effectExtent l="0" t="0" r="0" b="0"/>
          <wp:docPr id="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16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2C" w:rsidRDefault="00A32F2C">
      <w:pPr>
        <w:spacing w:after="0" w:line="240" w:lineRule="auto"/>
      </w:pPr>
      <w:r>
        <w:separator/>
      </w:r>
    </w:p>
  </w:footnote>
  <w:footnote w:type="continuationSeparator" w:id="0">
    <w:p w:rsidR="00A32F2C" w:rsidRDefault="00A3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F8" w:rsidRDefault="00F103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987009" cy="82983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7009" cy="829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441F8" w:rsidRDefault="00A441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E422A"/>
    <w:multiLevelType w:val="multilevel"/>
    <w:tmpl w:val="F8846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F8"/>
    <w:rsid w:val="0000261E"/>
    <w:rsid w:val="00036920"/>
    <w:rsid w:val="000B0448"/>
    <w:rsid w:val="00115731"/>
    <w:rsid w:val="00164A41"/>
    <w:rsid w:val="0016770A"/>
    <w:rsid w:val="00271775"/>
    <w:rsid w:val="002776FA"/>
    <w:rsid w:val="002E0F13"/>
    <w:rsid w:val="002F115F"/>
    <w:rsid w:val="003F2D87"/>
    <w:rsid w:val="00466B30"/>
    <w:rsid w:val="00475479"/>
    <w:rsid w:val="00497235"/>
    <w:rsid w:val="004B5525"/>
    <w:rsid w:val="004C4C62"/>
    <w:rsid w:val="0057698D"/>
    <w:rsid w:val="005C4747"/>
    <w:rsid w:val="00606584"/>
    <w:rsid w:val="00626D09"/>
    <w:rsid w:val="00665186"/>
    <w:rsid w:val="0068044E"/>
    <w:rsid w:val="00680957"/>
    <w:rsid w:val="007068AC"/>
    <w:rsid w:val="00711EDF"/>
    <w:rsid w:val="00725800"/>
    <w:rsid w:val="0074094D"/>
    <w:rsid w:val="00745875"/>
    <w:rsid w:val="0076199B"/>
    <w:rsid w:val="008959A8"/>
    <w:rsid w:val="00904238"/>
    <w:rsid w:val="00905B7E"/>
    <w:rsid w:val="00907571"/>
    <w:rsid w:val="00921809"/>
    <w:rsid w:val="009308FC"/>
    <w:rsid w:val="0093568D"/>
    <w:rsid w:val="00941366"/>
    <w:rsid w:val="00A10D79"/>
    <w:rsid w:val="00A32F2C"/>
    <w:rsid w:val="00A407EF"/>
    <w:rsid w:val="00A441F8"/>
    <w:rsid w:val="00AC7161"/>
    <w:rsid w:val="00BC6FAE"/>
    <w:rsid w:val="00BE4FEC"/>
    <w:rsid w:val="00BF4D2B"/>
    <w:rsid w:val="00C0111D"/>
    <w:rsid w:val="00C03BA0"/>
    <w:rsid w:val="00C8457F"/>
    <w:rsid w:val="00CA7C81"/>
    <w:rsid w:val="00CF4733"/>
    <w:rsid w:val="00E17875"/>
    <w:rsid w:val="00E35AA7"/>
    <w:rsid w:val="00EB08A7"/>
    <w:rsid w:val="00ED64F2"/>
    <w:rsid w:val="00F06EF7"/>
    <w:rsid w:val="00F10381"/>
    <w:rsid w:val="00F56DA9"/>
    <w:rsid w:val="00F57C98"/>
    <w:rsid w:val="00F705B8"/>
    <w:rsid w:val="00FC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C777"/>
  <w15:docId w15:val="{50569DBD-9DEF-4B13-95B6-96519BE2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FF0000"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FEC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E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E4FE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E4FEC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3BA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258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800"/>
  </w:style>
  <w:style w:type="paragraph" w:styleId="Pidipagina">
    <w:name w:val="footer"/>
    <w:basedOn w:val="Normale"/>
    <w:link w:val="PidipaginaCarattere"/>
    <w:uiPriority w:val="99"/>
    <w:unhideWhenUsed/>
    <w:rsid w:val="007258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800"/>
  </w:style>
  <w:style w:type="character" w:customStyle="1" w:styleId="gmaildefault">
    <w:name w:val="gmail_default"/>
    <w:basedOn w:val="Carpredefinitoparagrafo"/>
    <w:rsid w:val="004B5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://www.simonearcagni.net/" TargetMode="External"/><Relationship Id="rId13" Type="http://schemas.openxmlformats.org/officeDocument/2006/relationships/hyperlink" Target="https://www.polodel900.i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ttps://docs.google.com/document/d/1dhFMnzcEnvAyDkQgeb_ecuOgcrRPebGsuEO7GtJjS5c/edit?usp=sharing" TargetMode="External"/><Relationship Id="rId12" Type="http://schemas.openxmlformats.org/officeDocument/2006/relationships/hyperlink" Target="mailto:sonia.vacca@polodel900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Paola Asproni</cp:lastModifiedBy>
  <cp:revision>10</cp:revision>
  <dcterms:created xsi:type="dcterms:W3CDTF">2019-03-27T15:36:00Z</dcterms:created>
  <dcterms:modified xsi:type="dcterms:W3CDTF">2019-03-28T14:05:00Z</dcterms:modified>
</cp:coreProperties>
</file>