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56697" w14:textId="1295329E" w:rsidR="00BA2906" w:rsidRDefault="00364A1F" w:rsidP="00A266B7">
      <w:pPr>
        <w:pStyle w:val="NormalSpaceTM"/>
        <w:jc w:val="both"/>
        <w:rPr>
          <w:b/>
        </w:rPr>
      </w:pPr>
      <w:r w:rsidRPr="00826CE4">
        <w:rPr>
          <w:b/>
        </w:rPr>
        <w:t>Triennale Milano o</w:t>
      </w:r>
      <w:r w:rsidR="00826CE4">
        <w:rPr>
          <w:b/>
        </w:rPr>
        <w:t xml:space="preserve">spita </w:t>
      </w:r>
      <w:r w:rsidRPr="00826CE4">
        <w:rPr>
          <w:b/>
        </w:rPr>
        <w:t xml:space="preserve">la conferenza annuale della rete </w:t>
      </w:r>
      <w:proofErr w:type="spellStart"/>
      <w:r w:rsidRPr="00826CE4">
        <w:rPr>
          <w:b/>
        </w:rPr>
        <w:t>muscon</w:t>
      </w:r>
      <w:proofErr w:type="spellEnd"/>
      <w:r w:rsidR="002C2ED1">
        <w:rPr>
          <w:b/>
        </w:rPr>
        <w:br/>
      </w:r>
      <w:r w:rsidR="002C2ED1">
        <w:rPr>
          <w:b/>
        </w:rPr>
        <w:br/>
      </w:r>
    </w:p>
    <w:p w14:paraId="24A3DBFC" w14:textId="59F97518" w:rsidR="007B0DE1" w:rsidRDefault="00364A1F" w:rsidP="00826CE4">
      <w:pPr>
        <w:pStyle w:val="NormalSpaceTM"/>
      </w:pPr>
      <w:r w:rsidRPr="00826CE4">
        <w:t>Triennale Milano ospita l'</w:t>
      </w:r>
      <w:r w:rsidRPr="00826CE4">
        <w:rPr>
          <w:b/>
        </w:rPr>
        <w:t xml:space="preserve">edizione 2022 </w:t>
      </w:r>
      <w:r w:rsidRPr="00826CE4">
        <w:t xml:space="preserve">dell’incontro annuale della rete </w:t>
      </w:r>
      <w:proofErr w:type="spellStart"/>
      <w:r w:rsidRPr="00826CE4">
        <w:rPr>
          <w:b/>
        </w:rPr>
        <w:t>muscon</w:t>
      </w:r>
      <w:proofErr w:type="spellEnd"/>
      <w:r w:rsidRPr="00826CE4">
        <w:rPr>
          <w:b/>
        </w:rPr>
        <w:t xml:space="preserve"> – </w:t>
      </w:r>
      <w:proofErr w:type="spellStart"/>
      <w:r w:rsidRPr="00826CE4">
        <w:rPr>
          <w:b/>
        </w:rPr>
        <w:t>Museum</w:t>
      </w:r>
      <w:proofErr w:type="spellEnd"/>
      <w:r w:rsidRPr="00826CE4">
        <w:rPr>
          <w:b/>
        </w:rPr>
        <w:t xml:space="preserve"> Network </w:t>
      </w:r>
      <w:proofErr w:type="spellStart"/>
      <w:r w:rsidRPr="00826CE4">
        <w:rPr>
          <w:b/>
        </w:rPr>
        <w:t>Conferences</w:t>
      </w:r>
      <w:proofErr w:type="spellEnd"/>
      <w:r w:rsidRPr="00826CE4">
        <w:t>,</w:t>
      </w:r>
      <w:r w:rsidR="00FD7E11" w:rsidRPr="00891CFF">
        <w:t xml:space="preserve"> organizzat</w:t>
      </w:r>
      <w:r w:rsidR="00FD7E11">
        <w:t>o</w:t>
      </w:r>
      <w:r w:rsidR="00FD7E11" w:rsidRPr="00891CFF">
        <w:t xml:space="preserve"> dal </w:t>
      </w:r>
      <w:proofErr w:type="spellStart"/>
      <w:r w:rsidR="00FD7E11" w:rsidRPr="00891CFF">
        <w:t>Vitra</w:t>
      </w:r>
      <w:proofErr w:type="spellEnd"/>
      <w:r w:rsidR="00FD7E11" w:rsidRPr="00891CFF">
        <w:t xml:space="preserve"> Design </w:t>
      </w:r>
      <w:proofErr w:type="spellStart"/>
      <w:r w:rsidR="00FD7E11" w:rsidRPr="00891CFF">
        <w:t>Museum</w:t>
      </w:r>
      <w:proofErr w:type="spellEnd"/>
      <w:r w:rsidR="00FD7E11" w:rsidRPr="00891CFF">
        <w:t xml:space="preserve">, </w:t>
      </w:r>
      <w:r w:rsidRPr="00826CE4">
        <w:t xml:space="preserve">che riunisce alcuni fra i più importanti musei di design, architettura e arte del mondo. La rete, attiva dal 1996, è una piattaforma di scambio e dialogo che unisce i principali </w:t>
      </w:r>
      <w:r w:rsidR="009B6B6D">
        <w:t>centri culturali internazionali</w:t>
      </w:r>
      <w:r w:rsidR="001D707F">
        <w:t>.</w:t>
      </w:r>
      <w:r w:rsidR="009B6B6D">
        <w:t xml:space="preserve"> </w:t>
      </w:r>
      <w:r w:rsidR="00176D39">
        <w:t>L’edizione di quest’</w:t>
      </w:r>
      <w:r w:rsidR="00857F99">
        <w:t xml:space="preserve">anno ospiterà </w:t>
      </w:r>
      <w:r w:rsidR="007B0DE1" w:rsidRPr="00974351">
        <w:rPr>
          <w:b/>
          <w:bCs/>
        </w:rPr>
        <w:t>o</w:t>
      </w:r>
      <w:r w:rsidR="007B0DE1" w:rsidRPr="007B0DE1">
        <w:rPr>
          <w:b/>
        </w:rPr>
        <w:t xml:space="preserve">ltre 90 partecipanti in rappresentanza di 53 </w:t>
      </w:r>
      <w:r w:rsidR="001D1654" w:rsidRPr="007B0DE1">
        <w:rPr>
          <w:b/>
        </w:rPr>
        <w:t>istituzioni da tutto il mondo</w:t>
      </w:r>
      <w:r w:rsidR="0055430C">
        <w:t xml:space="preserve">, tra </w:t>
      </w:r>
      <w:r w:rsidR="005B09F3">
        <w:t xml:space="preserve">cui </w:t>
      </w:r>
      <w:r w:rsidR="001D707F" w:rsidRPr="007B0DE1">
        <w:t xml:space="preserve">Hong Kong Design </w:t>
      </w:r>
      <w:proofErr w:type="spellStart"/>
      <w:r w:rsidR="001D707F" w:rsidRPr="007B0DE1">
        <w:t>Institute</w:t>
      </w:r>
      <w:proofErr w:type="spellEnd"/>
      <w:r w:rsidR="001D707F" w:rsidRPr="007B0DE1">
        <w:t xml:space="preserve">, Tate </w:t>
      </w:r>
      <w:proofErr w:type="spellStart"/>
      <w:r w:rsidR="001D707F" w:rsidRPr="007B0DE1">
        <w:t>Modern</w:t>
      </w:r>
      <w:proofErr w:type="spellEnd"/>
      <w:r w:rsidR="001D707F" w:rsidRPr="007B0DE1">
        <w:t xml:space="preserve">, </w:t>
      </w:r>
      <w:proofErr w:type="spellStart"/>
      <w:r w:rsidR="007B0DE1" w:rsidRPr="007B0DE1">
        <w:t>Monnaie</w:t>
      </w:r>
      <w:proofErr w:type="spellEnd"/>
      <w:r w:rsidR="007B0DE1" w:rsidRPr="007B0DE1">
        <w:t xml:space="preserve"> de Paris, </w:t>
      </w:r>
      <w:r w:rsidR="001D707F" w:rsidRPr="007B0DE1">
        <w:t>Victoria and Albert Museum</w:t>
      </w:r>
      <w:r w:rsidR="007B0DE1" w:rsidRPr="007B0DE1">
        <w:t>, National Museum of Singapore,</w:t>
      </w:r>
      <w:r w:rsidR="002E4911" w:rsidRPr="007B0DE1">
        <w:t xml:space="preserve"> </w:t>
      </w:r>
      <w:proofErr w:type="spellStart"/>
      <w:r w:rsidR="00176D39" w:rsidRPr="007B0DE1">
        <w:t>Museum</w:t>
      </w:r>
      <w:proofErr w:type="spellEnd"/>
      <w:r w:rsidR="00176D39" w:rsidRPr="007B0DE1">
        <w:t xml:space="preserve"> </w:t>
      </w:r>
      <w:proofErr w:type="spellStart"/>
      <w:r w:rsidR="00176D39" w:rsidRPr="007B0DE1">
        <w:t>Boijmans</w:t>
      </w:r>
      <w:proofErr w:type="spellEnd"/>
      <w:r w:rsidR="00176D39" w:rsidRPr="007B0DE1">
        <w:t xml:space="preserve"> Van </w:t>
      </w:r>
      <w:proofErr w:type="spellStart"/>
      <w:r w:rsidR="00176D39" w:rsidRPr="007B0DE1">
        <w:t>Beuningen</w:t>
      </w:r>
      <w:proofErr w:type="spellEnd"/>
      <w:r w:rsidR="007B0DE1" w:rsidRPr="007B0DE1">
        <w:t xml:space="preserve">, </w:t>
      </w:r>
      <w:proofErr w:type="spellStart"/>
      <w:r w:rsidR="007B0DE1">
        <w:t>Fondation</w:t>
      </w:r>
      <w:proofErr w:type="spellEnd"/>
      <w:r w:rsidR="007B0DE1">
        <w:t xml:space="preserve"> LUMA, </w:t>
      </w:r>
      <w:proofErr w:type="spellStart"/>
      <w:r w:rsidR="007B0DE1" w:rsidRPr="007B0DE1">
        <w:t>Barbican</w:t>
      </w:r>
      <w:proofErr w:type="spellEnd"/>
      <w:r w:rsidR="007B0DE1" w:rsidRPr="007B0DE1">
        <w:t xml:space="preserve"> Cent</w:t>
      </w:r>
      <w:r w:rsidR="00181CDE">
        <w:t>re</w:t>
      </w:r>
      <w:r w:rsidR="002E4911" w:rsidRPr="007B0DE1">
        <w:t>.</w:t>
      </w:r>
      <w:r w:rsidR="006B0982" w:rsidRPr="007B0DE1">
        <w:t xml:space="preserve"> </w:t>
      </w:r>
    </w:p>
    <w:p w14:paraId="4F61C0FA" w14:textId="564783B7" w:rsidR="008B5F0C" w:rsidRPr="00181CDE" w:rsidRDefault="007B0DE1" w:rsidP="00826CE4">
      <w:pPr>
        <w:pStyle w:val="NormalSpaceTM"/>
      </w:pPr>
      <w:r>
        <w:t xml:space="preserve">Dopo due anni in cui la conferenza si è svolta online, la rete del </w:t>
      </w:r>
      <w:proofErr w:type="spellStart"/>
      <w:r>
        <w:t>muscon</w:t>
      </w:r>
      <w:proofErr w:type="spellEnd"/>
      <w:r>
        <w:t xml:space="preserve"> torna a riunirsi in presenza, </w:t>
      </w:r>
      <w:r w:rsidR="002C2ED1">
        <w:t>in Triennale</w:t>
      </w:r>
      <w:r>
        <w:t>,</w:t>
      </w:r>
      <w:r w:rsidR="00364A1F" w:rsidRPr="00826CE4">
        <w:t xml:space="preserve"> </w:t>
      </w:r>
      <w:r w:rsidR="00364A1F" w:rsidRPr="00826CE4">
        <w:rPr>
          <w:b/>
        </w:rPr>
        <w:t>da</w:t>
      </w:r>
      <w:r w:rsidR="005B09F3">
        <w:rPr>
          <w:b/>
        </w:rPr>
        <w:t xml:space="preserve"> mercoledì </w:t>
      </w:r>
      <w:r w:rsidR="00364A1F" w:rsidRPr="00826CE4">
        <w:rPr>
          <w:b/>
        </w:rPr>
        <w:t>12 a</w:t>
      </w:r>
      <w:r w:rsidR="005B09F3">
        <w:rPr>
          <w:b/>
        </w:rPr>
        <w:t xml:space="preserve"> sabato</w:t>
      </w:r>
      <w:r w:rsidR="00364A1F" w:rsidRPr="00826CE4">
        <w:rPr>
          <w:b/>
        </w:rPr>
        <w:t xml:space="preserve"> 15 ottobre 2022</w:t>
      </w:r>
      <w:r w:rsidR="00364A1F" w:rsidRPr="00826CE4">
        <w:t xml:space="preserve">, nel </w:t>
      </w:r>
      <w:r w:rsidR="00364A1F" w:rsidRPr="00181CDE">
        <w:t xml:space="preserve">periodo di apertura della </w:t>
      </w:r>
      <w:r w:rsidR="00364A1F" w:rsidRPr="00181CDE">
        <w:rPr>
          <w:b/>
        </w:rPr>
        <w:t>23ª Esposizione Internazionale</w:t>
      </w:r>
      <w:r w:rsidR="00364A1F" w:rsidRPr="00181CDE">
        <w:t xml:space="preserve"> di Triennale Milano (</w:t>
      </w:r>
      <w:r w:rsidR="00803925" w:rsidRPr="00181CDE">
        <w:t>fino all’</w:t>
      </w:r>
      <w:r w:rsidR="00364A1F" w:rsidRPr="00181CDE">
        <w:t>11 dicembre)</w:t>
      </w:r>
      <w:r w:rsidR="00364A1F" w:rsidRPr="00181CDE">
        <w:rPr>
          <w:b/>
        </w:rPr>
        <w:t xml:space="preserve"> </w:t>
      </w:r>
      <w:proofErr w:type="spellStart"/>
      <w:r w:rsidR="00364A1F" w:rsidRPr="00181CDE">
        <w:rPr>
          <w:i/>
        </w:rPr>
        <w:t>Unknown</w:t>
      </w:r>
      <w:proofErr w:type="spellEnd"/>
      <w:r w:rsidR="00364A1F" w:rsidRPr="00181CDE">
        <w:rPr>
          <w:i/>
        </w:rPr>
        <w:t xml:space="preserve"> </w:t>
      </w:r>
      <w:proofErr w:type="spellStart"/>
      <w:r w:rsidR="00364A1F" w:rsidRPr="00181CDE">
        <w:rPr>
          <w:i/>
        </w:rPr>
        <w:t>Unknowns</w:t>
      </w:r>
      <w:proofErr w:type="spellEnd"/>
      <w:r w:rsidR="00364A1F" w:rsidRPr="00181CDE">
        <w:rPr>
          <w:i/>
        </w:rPr>
        <w:t xml:space="preserve">. An </w:t>
      </w:r>
      <w:proofErr w:type="spellStart"/>
      <w:r w:rsidR="00364A1F" w:rsidRPr="00181CDE">
        <w:rPr>
          <w:i/>
        </w:rPr>
        <w:t>Introduction</w:t>
      </w:r>
      <w:proofErr w:type="spellEnd"/>
      <w:r w:rsidR="00364A1F" w:rsidRPr="00181CDE">
        <w:rPr>
          <w:i/>
        </w:rPr>
        <w:t xml:space="preserve"> to Mysteries</w:t>
      </w:r>
      <w:r w:rsidR="003573A0" w:rsidRPr="00181CDE">
        <w:t>.</w:t>
      </w:r>
    </w:p>
    <w:p w14:paraId="2FAEABA7" w14:textId="0D88A9FD" w:rsidR="00181CDE" w:rsidRPr="00181CDE" w:rsidRDefault="002C2ED1" w:rsidP="00826CE4">
      <w:pPr>
        <w:pStyle w:val="NormalSpaceTM"/>
      </w:pPr>
      <w:r w:rsidRPr="00181CDE">
        <w:rPr>
          <w:b/>
        </w:rPr>
        <w:t>Stefano Boeri</w:t>
      </w:r>
      <w:r w:rsidRPr="00181CDE">
        <w:t xml:space="preserve">, Presidente di Triennale Milano, dichiara: </w:t>
      </w:r>
      <w:r w:rsidR="00181CDE" w:rsidRPr="00181CDE">
        <w:t xml:space="preserve">“Siamo felici di accogliere in Triennale la conferenza annuale del </w:t>
      </w:r>
      <w:proofErr w:type="spellStart"/>
      <w:r w:rsidR="00181CDE" w:rsidRPr="00181CDE">
        <w:t>muscon</w:t>
      </w:r>
      <w:proofErr w:type="spellEnd"/>
      <w:r w:rsidR="00181CDE" w:rsidRPr="00181CDE">
        <w:t>, rete di cui Triennale è partner da molti anni. Per noi e per Milano questa rappresenta un’occasione di dialogo e confronto con alcuni dei musei e delle istituzioni culturali più importanti al mondo, che pone le basi per collaborazioni e scambi progettuali. In questo momento storico così complesso, è importante più che mai creare ponti, spazi e opportunità di condivisione e networking. Ci fa inoltre particolarmente piacere poter offrire ai direttori, ai curatori e ai professionisti di queste realtà museali la visita a un progetto chiave per la nostra istituzione come la 23ª Esposizione Internazionale.”</w:t>
      </w:r>
    </w:p>
    <w:p w14:paraId="1204E607" w14:textId="6CA3B42E" w:rsidR="00F24895" w:rsidRPr="00181CDE" w:rsidRDefault="00F24895" w:rsidP="00826CE4">
      <w:pPr>
        <w:pStyle w:val="NormalSpaceTM"/>
      </w:pPr>
      <w:r w:rsidRPr="00181CDE">
        <w:rPr>
          <w:b/>
        </w:rPr>
        <w:t xml:space="preserve">Marco </w:t>
      </w:r>
      <w:proofErr w:type="spellStart"/>
      <w:r w:rsidRPr="00181CDE">
        <w:rPr>
          <w:b/>
        </w:rPr>
        <w:t>Sammicheli</w:t>
      </w:r>
      <w:proofErr w:type="spellEnd"/>
      <w:r w:rsidRPr="00181CDE">
        <w:t xml:space="preserve">, Direttore del Museo del Design Italiano di Triennale Milano, afferma: “La condivisione dei progetti attuali e futuri di Triennale con la rete del </w:t>
      </w:r>
      <w:proofErr w:type="spellStart"/>
      <w:r w:rsidRPr="00181CDE">
        <w:t>muscon</w:t>
      </w:r>
      <w:proofErr w:type="spellEnd"/>
      <w:r w:rsidRPr="00181CDE">
        <w:t xml:space="preserve"> rappresenta il presupposto per lo sviluppo di nuovi scambi e collaborazioni su scala internazionale. </w:t>
      </w:r>
      <w:r w:rsidR="009174A6" w:rsidRPr="00181CDE">
        <w:t xml:space="preserve">Il nostro Museo del Design Italiano, che nel 2023 dopo l’Esposizione Internazionale tornerà a essere </w:t>
      </w:r>
      <w:r w:rsidR="00181CDE">
        <w:t>visitabile</w:t>
      </w:r>
      <w:r w:rsidR="009174A6" w:rsidRPr="00181CDE">
        <w:t>, rappresenta il centro propulsore delle attività di Triennale nel campo del design</w:t>
      </w:r>
      <w:r w:rsidR="00F714C1" w:rsidRPr="00181CDE">
        <w:t>, della moda e del nuovo artigianato.</w:t>
      </w:r>
      <w:r w:rsidR="009174A6" w:rsidRPr="00181CDE">
        <w:t>”</w:t>
      </w:r>
    </w:p>
    <w:p w14:paraId="7C4E433C" w14:textId="4733428F" w:rsidR="007D3D19" w:rsidRPr="007D3D19" w:rsidRDefault="009A015D" w:rsidP="00826CE4">
      <w:pPr>
        <w:pStyle w:val="NormalSpaceTM"/>
        <w:rPr>
          <w:bCs/>
        </w:rPr>
      </w:pPr>
      <w:r w:rsidRPr="00181CDE">
        <w:t xml:space="preserve">Il programma </w:t>
      </w:r>
      <w:r w:rsidR="007D3D19" w:rsidRPr="00181CDE">
        <w:t>prev</w:t>
      </w:r>
      <w:r w:rsidRPr="00181CDE">
        <w:t>ede</w:t>
      </w:r>
      <w:r w:rsidR="007D3D19" w:rsidRPr="00181CDE">
        <w:t xml:space="preserve"> </w:t>
      </w:r>
      <w:r w:rsidR="005B09F3" w:rsidRPr="00181CDE">
        <w:t>tre</w:t>
      </w:r>
      <w:r w:rsidR="007D3D19" w:rsidRPr="00181CDE">
        <w:t xml:space="preserve"> giornate di incontri in cui interverranno e si</w:t>
      </w:r>
      <w:r w:rsidR="007D3D19">
        <w:t xml:space="preserve"> confronteranno i rappresentanti delle istituzion</w:t>
      </w:r>
      <w:r w:rsidR="006029F7">
        <w:t>i</w:t>
      </w:r>
      <w:r w:rsidR="007D3D19">
        <w:t xml:space="preserve"> coinvolte, momenti di vista alle mostre della </w:t>
      </w:r>
      <w:r w:rsidR="007D3D19" w:rsidRPr="007D3D19">
        <w:rPr>
          <w:bCs/>
        </w:rPr>
        <w:t>23ª Esposizione Internazionale</w:t>
      </w:r>
      <w:r w:rsidR="00803925">
        <w:rPr>
          <w:bCs/>
        </w:rPr>
        <w:t>, a</w:t>
      </w:r>
      <w:r w:rsidR="003F6255">
        <w:rPr>
          <w:bCs/>
        </w:rPr>
        <w:t>ll’installazione permane</w:t>
      </w:r>
      <w:r w:rsidR="00A266B7">
        <w:rPr>
          <w:bCs/>
        </w:rPr>
        <w:t>n</w:t>
      </w:r>
      <w:bookmarkStart w:id="0" w:name="_GoBack"/>
      <w:bookmarkEnd w:id="0"/>
      <w:r w:rsidR="003F6255">
        <w:rPr>
          <w:bCs/>
        </w:rPr>
        <w:t>te di</w:t>
      </w:r>
      <w:r w:rsidR="00803925">
        <w:rPr>
          <w:bCs/>
        </w:rPr>
        <w:t xml:space="preserve"> Casa Lana</w:t>
      </w:r>
      <w:r w:rsidR="003F6255">
        <w:rPr>
          <w:bCs/>
        </w:rPr>
        <w:t>,</w:t>
      </w:r>
      <w:r w:rsidR="002C2ED1">
        <w:rPr>
          <w:bCs/>
        </w:rPr>
        <w:t xml:space="preserve"> a</w:t>
      </w:r>
      <w:r w:rsidR="003F6255">
        <w:rPr>
          <w:bCs/>
        </w:rPr>
        <w:t>i</w:t>
      </w:r>
      <w:r w:rsidR="002C2ED1">
        <w:rPr>
          <w:bCs/>
        </w:rPr>
        <w:t xml:space="preserve"> </w:t>
      </w:r>
      <w:r w:rsidR="003F6255">
        <w:rPr>
          <w:bCs/>
        </w:rPr>
        <w:t xml:space="preserve">progetti e alle opere </w:t>
      </w:r>
      <w:r w:rsidR="002C2ED1">
        <w:rPr>
          <w:bCs/>
        </w:rPr>
        <w:t>realizzat</w:t>
      </w:r>
      <w:r w:rsidR="003F6255">
        <w:rPr>
          <w:bCs/>
        </w:rPr>
        <w:t>i</w:t>
      </w:r>
      <w:r w:rsidR="002C2ED1">
        <w:rPr>
          <w:bCs/>
        </w:rPr>
        <w:t xml:space="preserve"> durante le Triennali storiche</w:t>
      </w:r>
      <w:r w:rsidR="003F6255">
        <w:rPr>
          <w:bCs/>
        </w:rPr>
        <w:t xml:space="preserve"> in Parco Sempione</w:t>
      </w:r>
      <w:r w:rsidR="007D3D19">
        <w:rPr>
          <w:bCs/>
        </w:rPr>
        <w:t>.</w:t>
      </w:r>
      <w:r w:rsidR="003F6255">
        <w:rPr>
          <w:bCs/>
        </w:rPr>
        <w:t xml:space="preserve"> La conferenza verrà aperta dalla Direttrice Generale di Triennale Milano </w:t>
      </w:r>
      <w:r w:rsidR="003F6255" w:rsidRPr="003F6255">
        <w:rPr>
          <w:b/>
          <w:bCs/>
        </w:rPr>
        <w:t xml:space="preserve">Carla </w:t>
      </w:r>
      <w:proofErr w:type="spellStart"/>
      <w:r w:rsidR="003F6255" w:rsidRPr="003F6255">
        <w:rPr>
          <w:b/>
          <w:bCs/>
        </w:rPr>
        <w:t>Morogallo</w:t>
      </w:r>
      <w:proofErr w:type="spellEnd"/>
      <w:r w:rsidR="003F6255">
        <w:rPr>
          <w:bCs/>
        </w:rPr>
        <w:t xml:space="preserve"> e dal Direttore del Museo del Design Italiano </w:t>
      </w:r>
      <w:r w:rsidR="003F6255" w:rsidRPr="003F6255">
        <w:rPr>
          <w:b/>
          <w:bCs/>
        </w:rPr>
        <w:t xml:space="preserve">Marco </w:t>
      </w:r>
      <w:proofErr w:type="spellStart"/>
      <w:r w:rsidR="003F6255" w:rsidRPr="003F6255">
        <w:rPr>
          <w:b/>
          <w:bCs/>
        </w:rPr>
        <w:t>Sammicheli</w:t>
      </w:r>
      <w:proofErr w:type="spellEnd"/>
      <w:r w:rsidR="003F6255">
        <w:rPr>
          <w:bCs/>
        </w:rPr>
        <w:t xml:space="preserve">. </w:t>
      </w:r>
    </w:p>
    <w:p w14:paraId="33796D4F" w14:textId="77777777" w:rsidR="00826CE4" w:rsidRPr="00826CE4" w:rsidRDefault="00364A1F" w:rsidP="00826CE4">
      <w:pPr>
        <w:pStyle w:val="NormalSpaceTM"/>
        <w:rPr>
          <w:b/>
        </w:rPr>
      </w:pPr>
      <w:r w:rsidRPr="00826CE4">
        <w:t xml:space="preserve">Negli anni passati gli incontri del </w:t>
      </w:r>
      <w:proofErr w:type="spellStart"/>
      <w:r w:rsidRPr="00826CE4">
        <w:t>muscon</w:t>
      </w:r>
      <w:proofErr w:type="spellEnd"/>
      <w:r w:rsidRPr="00826CE4">
        <w:t xml:space="preserve"> sono stati ospitati da: Victoria and Albert </w:t>
      </w:r>
      <w:proofErr w:type="spellStart"/>
      <w:r w:rsidRPr="00826CE4">
        <w:t>Museum</w:t>
      </w:r>
      <w:proofErr w:type="spellEnd"/>
      <w:r w:rsidRPr="00826CE4">
        <w:t xml:space="preserve">, </w:t>
      </w:r>
      <w:proofErr w:type="spellStart"/>
      <w:r w:rsidRPr="00826CE4">
        <w:t>Museum</w:t>
      </w:r>
      <w:proofErr w:type="spellEnd"/>
      <w:r w:rsidRPr="00826CE4">
        <w:t xml:space="preserve"> </w:t>
      </w:r>
      <w:proofErr w:type="spellStart"/>
      <w:r w:rsidRPr="00826CE4">
        <w:t>für</w:t>
      </w:r>
      <w:proofErr w:type="spellEnd"/>
      <w:r w:rsidRPr="00826CE4">
        <w:t xml:space="preserve"> </w:t>
      </w:r>
      <w:proofErr w:type="spellStart"/>
      <w:r w:rsidRPr="00826CE4">
        <w:t>Gestaltung</w:t>
      </w:r>
      <w:proofErr w:type="spellEnd"/>
      <w:r w:rsidRPr="00826CE4">
        <w:t xml:space="preserve"> </w:t>
      </w:r>
      <w:proofErr w:type="spellStart"/>
      <w:r w:rsidRPr="00826CE4">
        <w:t>Zürich</w:t>
      </w:r>
      <w:proofErr w:type="spellEnd"/>
      <w:r w:rsidRPr="00826CE4">
        <w:t xml:space="preserve">, Design </w:t>
      </w:r>
      <w:proofErr w:type="spellStart"/>
      <w:r w:rsidRPr="00826CE4">
        <w:t>Museum</w:t>
      </w:r>
      <w:proofErr w:type="spellEnd"/>
      <w:r w:rsidRPr="00826CE4">
        <w:t xml:space="preserve"> </w:t>
      </w:r>
      <w:proofErr w:type="spellStart"/>
      <w:r w:rsidRPr="00826CE4">
        <w:t>London</w:t>
      </w:r>
      <w:proofErr w:type="spellEnd"/>
      <w:r w:rsidRPr="00826CE4">
        <w:t xml:space="preserve">, </w:t>
      </w:r>
      <w:proofErr w:type="spellStart"/>
      <w:r w:rsidRPr="00826CE4">
        <w:t>Museum</w:t>
      </w:r>
      <w:proofErr w:type="spellEnd"/>
      <w:r w:rsidRPr="00826CE4">
        <w:t xml:space="preserve"> </w:t>
      </w:r>
      <w:proofErr w:type="spellStart"/>
      <w:r w:rsidRPr="00826CE4">
        <w:t>Boijmans</w:t>
      </w:r>
      <w:proofErr w:type="spellEnd"/>
      <w:r w:rsidRPr="00826CE4">
        <w:t xml:space="preserve"> Van </w:t>
      </w:r>
      <w:proofErr w:type="spellStart"/>
      <w:r w:rsidRPr="00826CE4">
        <w:t>Beuningen</w:t>
      </w:r>
      <w:proofErr w:type="spellEnd"/>
      <w:r w:rsidRPr="00826CE4">
        <w:t xml:space="preserve">, Taipei Fine </w:t>
      </w:r>
      <w:proofErr w:type="spellStart"/>
      <w:r w:rsidRPr="00826CE4">
        <w:t>Arts</w:t>
      </w:r>
      <w:proofErr w:type="spellEnd"/>
      <w:r w:rsidRPr="00826CE4">
        <w:t xml:space="preserve"> </w:t>
      </w:r>
      <w:proofErr w:type="spellStart"/>
      <w:r w:rsidRPr="00826CE4">
        <w:t>Museum</w:t>
      </w:r>
      <w:proofErr w:type="spellEnd"/>
      <w:r w:rsidRPr="00826CE4">
        <w:t xml:space="preserve">, </w:t>
      </w:r>
      <w:proofErr w:type="spellStart"/>
      <w:r w:rsidRPr="00826CE4">
        <w:t>Powerhouse</w:t>
      </w:r>
      <w:proofErr w:type="spellEnd"/>
      <w:r w:rsidRPr="00826CE4">
        <w:t xml:space="preserve"> </w:t>
      </w:r>
      <w:proofErr w:type="spellStart"/>
      <w:r w:rsidRPr="00826CE4">
        <w:t>Museum</w:t>
      </w:r>
      <w:proofErr w:type="spellEnd"/>
      <w:r w:rsidRPr="00826CE4">
        <w:t xml:space="preserve"> Sydney, Design Miami, The </w:t>
      </w:r>
      <w:proofErr w:type="spellStart"/>
      <w:r w:rsidRPr="00826CE4">
        <w:t>Wolfsonian</w:t>
      </w:r>
      <w:proofErr w:type="spellEnd"/>
      <w:r w:rsidRPr="00826CE4">
        <w:t>-FIU e molti altri importanti musei e istituzioni.</w:t>
      </w:r>
    </w:p>
    <w:p w14:paraId="54633827" w14:textId="77777777" w:rsidR="00BA2906" w:rsidRDefault="00BA2906" w:rsidP="00826CE4">
      <w:pPr>
        <w:pStyle w:val="NormalSpaceTM"/>
        <w:rPr>
          <w:b/>
        </w:rPr>
      </w:pPr>
    </w:p>
    <w:p w14:paraId="2526CC55" w14:textId="6F9CF9F3" w:rsidR="00364A1F" w:rsidRPr="005D0FB2" w:rsidRDefault="00364A1F" w:rsidP="005D0FB2">
      <w:pPr>
        <w:pStyle w:val="NormalSpaceTM"/>
        <w:rPr>
          <w:b/>
        </w:rPr>
      </w:pPr>
      <w:r w:rsidRPr="00826CE4">
        <w:rPr>
          <w:b/>
        </w:rPr>
        <w:t>Museum Network Conferences</w:t>
      </w:r>
      <w:r w:rsidRPr="00826CE4">
        <w:br/>
        <w:t xml:space="preserve">Dal 1996 il </w:t>
      </w:r>
      <w:proofErr w:type="spellStart"/>
      <w:r w:rsidRPr="00826CE4">
        <w:t>Vitra</w:t>
      </w:r>
      <w:proofErr w:type="spellEnd"/>
      <w:r w:rsidRPr="00826CE4">
        <w:t xml:space="preserve"> Design </w:t>
      </w:r>
      <w:proofErr w:type="spellStart"/>
      <w:r w:rsidRPr="00826CE4">
        <w:t>Museum</w:t>
      </w:r>
      <w:proofErr w:type="spellEnd"/>
      <w:r w:rsidRPr="00826CE4">
        <w:t xml:space="preserve"> organizza un ciclo di conferenze con l’obiettivo</w:t>
      </w:r>
      <w:r w:rsidR="005D0FB2">
        <w:rPr>
          <w:b/>
        </w:rPr>
        <w:t xml:space="preserve"> </w:t>
      </w:r>
      <w:r w:rsidRPr="00826CE4">
        <w:t>di fornire a musei e istituzioni culturali una piattaforma professionale per il</w:t>
      </w:r>
      <w:r w:rsidR="005D0FB2">
        <w:rPr>
          <w:b/>
        </w:rPr>
        <w:t xml:space="preserve"> </w:t>
      </w:r>
      <w:r w:rsidRPr="00826CE4">
        <w:t>networking internazionale al fine di promuovere lo scambio di mostre itineranti.</w:t>
      </w:r>
    </w:p>
    <w:p w14:paraId="0BE76C36" w14:textId="0FE936E3" w:rsidR="00BA2906" w:rsidRDefault="00364A1F" w:rsidP="00826CE4">
      <w:pPr>
        <w:pStyle w:val="NormalSpaceTM"/>
        <w:spacing w:before="0"/>
      </w:pPr>
      <w:proofErr w:type="spellStart"/>
      <w:proofErr w:type="gramStart"/>
      <w:r w:rsidRPr="00826CE4">
        <w:lastRenderedPageBreak/>
        <w:t>muscon</w:t>
      </w:r>
      <w:proofErr w:type="spellEnd"/>
      <w:proofErr w:type="gramEnd"/>
      <w:r w:rsidRPr="00826CE4">
        <w:t xml:space="preserve"> si rivolge in particolare alle istituzioni che lavorano nel campo del design</w:t>
      </w:r>
      <w:r w:rsidR="005D0FB2">
        <w:t xml:space="preserve"> </w:t>
      </w:r>
      <w:r w:rsidRPr="00826CE4">
        <w:t>e dell'architettura, ma è aperto anche ai musei che si occupano di arte, scienza e</w:t>
      </w:r>
      <w:r w:rsidR="005D0FB2">
        <w:t xml:space="preserve"> </w:t>
      </w:r>
      <w:r w:rsidRPr="00826CE4">
        <w:t>altre discipline. Oltre a una conferenza annuale in Europa, ne viene organizzata</w:t>
      </w:r>
      <w:r w:rsidR="005D0FB2">
        <w:t xml:space="preserve"> </w:t>
      </w:r>
      <w:r w:rsidRPr="00826CE4">
        <w:t xml:space="preserve">una annuale negli Stati Uniti (dal 2007) e occasionalmente nell’area dell’Asia-Pacifica (dal 2008). La rete </w:t>
      </w:r>
      <w:proofErr w:type="spellStart"/>
      <w:r w:rsidRPr="00826CE4">
        <w:t>muscon</w:t>
      </w:r>
      <w:proofErr w:type="spellEnd"/>
      <w:r w:rsidRPr="00826CE4">
        <w:t xml:space="preserve"> ha riunito più di 200 istituzioni e ha</w:t>
      </w:r>
      <w:r w:rsidR="005D0FB2">
        <w:t xml:space="preserve"> </w:t>
      </w:r>
      <w:r w:rsidRPr="00826CE4">
        <w:t>contribuito in modo significativo allo scambio produttivo di mostre itineranti tra i</w:t>
      </w:r>
      <w:r w:rsidR="005D0FB2">
        <w:t xml:space="preserve"> </w:t>
      </w:r>
      <w:r w:rsidRPr="00826CE4">
        <w:t>principali musei internazionali offrendo l’opportunità a direttori di musei, curatori</w:t>
      </w:r>
      <w:r w:rsidR="005D0FB2">
        <w:t xml:space="preserve"> </w:t>
      </w:r>
      <w:r w:rsidRPr="00826CE4">
        <w:t>e organizzatori di mostre di presentare le loro istituzioni e condividere le loro</w:t>
      </w:r>
      <w:r w:rsidR="005D0FB2">
        <w:t xml:space="preserve"> </w:t>
      </w:r>
      <w:r w:rsidRPr="00826CE4">
        <w:t>competenze, oltre a portare alla luce nuovi ambiti di discussione e stabilire</w:t>
      </w:r>
      <w:r w:rsidR="005D0FB2">
        <w:t xml:space="preserve"> </w:t>
      </w:r>
      <w:r w:rsidRPr="00826CE4">
        <w:t>nuove sinergie.</w:t>
      </w:r>
    </w:p>
    <w:p w14:paraId="482F0E83" w14:textId="643724A5" w:rsidR="00BA2906" w:rsidRDefault="00BA2906" w:rsidP="00826CE4">
      <w:pPr>
        <w:pStyle w:val="NormalSpaceTM"/>
        <w:spacing w:before="0"/>
      </w:pPr>
    </w:p>
    <w:p w14:paraId="3285ACBA" w14:textId="291B1386" w:rsidR="00803925" w:rsidRPr="00181CDE" w:rsidRDefault="00181CDE" w:rsidP="00826CE4">
      <w:pPr>
        <w:pStyle w:val="NormalSpaceTM"/>
        <w:spacing w:before="0"/>
        <w:rPr>
          <w:i/>
        </w:rPr>
      </w:pPr>
      <w:r w:rsidRPr="00181CDE">
        <w:rPr>
          <w:i/>
        </w:rPr>
        <w:t>Incontro</w:t>
      </w:r>
      <w:r w:rsidR="00240344">
        <w:rPr>
          <w:i/>
        </w:rPr>
        <w:t xml:space="preserve"> aperto solo ai partner della rete </w:t>
      </w:r>
      <w:proofErr w:type="spellStart"/>
      <w:r w:rsidR="00240344">
        <w:rPr>
          <w:i/>
        </w:rPr>
        <w:t>muscon</w:t>
      </w:r>
      <w:proofErr w:type="spellEnd"/>
      <w:r w:rsidRPr="00181CDE">
        <w:rPr>
          <w:i/>
        </w:rPr>
        <w:t>.</w:t>
      </w:r>
    </w:p>
    <w:p w14:paraId="32033DB1" w14:textId="77777777" w:rsidR="00803925" w:rsidRDefault="00803925" w:rsidP="00826CE4">
      <w:pPr>
        <w:pStyle w:val="NormalSpaceTM"/>
        <w:spacing w:before="0"/>
      </w:pPr>
    </w:p>
    <w:p w14:paraId="504C8896" w14:textId="5DED196B" w:rsidR="00BA2906" w:rsidRDefault="00BA2906" w:rsidP="00826CE4">
      <w:pPr>
        <w:pStyle w:val="NormalSpaceTM"/>
        <w:spacing w:before="0"/>
        <w:rPr>
          <w:sz w:val="18"/>
          <w:szCs w:val="18"/>
        </w:rPr>
      </w:pPr>
    </w:p>
    <w:p w14:paraId="6BF5159B" w14:textId="77777777" w:rsidR="008D3BCD" w:rsidRPr="005345A0" w:rsidRDefault="008D3BCD" w:rsidP="00826CE4">
      <w:pPr>
        <w:pStyle w:val="NormalSpaceTM"/>
        <w:spacing w:before="0"/>
        <w:rPr>
          <w:sz w:val="18"/>
          <w:szCs w:val="18"/>
        </w:rPr>
      </w:pPr>
    </w:p>
    <w:p w14:paraId="2320C9E5" w14:textId="77777777" w:rsidR="00364A1F" w:rsidRPr="00240344" w:rsidRDefault="00364A1F" w:rsidP="00826CE4">
      <w:pPr>
        <w:pStyle w:val="NormalSpaceTM"/>
        <w:spacing w:before="0"/>
        <w:rPr>
          <w:sz w:val="18"/>
          <w:szCs w:val="18"/>
        </w:rPr>
      </w:pPr>
      <w:r w:rsidRPr="00240344">
        <w:rPr>
          <w:b/>
          <w:sz w:val="18"/>
          <w:szCs w:val="18"/>
        </w:rPr>
        <w:t>Contatti stampa</w:t>
      </w:r>
    </w:p>
    <w:p w14:paraId="3BEE2325" w14:textId="77777777" w:rsidR="00364A1F" w:rsidRPr="00240344" w:rsidRDefault="00364A1F" w:rsidP="00826CE4">
      <w:pPr>
        <w:pStyle w:val="NormalSpaceTM"/>
        <w:spacing w:before="0"/>
        <w:rPr>
          <w:sz w:val="18"/>
          <w:szCs w:val="18"/>
        </w:rPr>
      </w:pPr>
      <w:r w:rsidRPr="00240344">
        <w:rPr>
          <w:sz w:val="18"/>
          <w:szCs w:val="18"/>
        </w:rPr>
        <w:t>Triennale Milano</w:t>
      </w:r>
    </w:p>
    <w:p w14:paraId="39C70AD3" w14:textId="77777777" w:rsidR="00364A1F" w:rsidRPr="00240344" w:rsidRDefault="00364A1F" w:rsidP="00826CE4">
      <w:pPr>
        <w:pStyle w:val="NormalSpaceTM"/>
        <w:spacing w:before="0"/>
        <w:rPr>
          <w:sz w:val="18"/>
          <w:szCs w:val="18"/>
        </w:rPr>
      </w:pPr>
      <w:r w:rsidRPr="00240344">
        <w:rPr>
          <w:sz w:val="18"/>
          <w:szCs w:val="18"/>
        </w:rPr>
        <w:t>Comunicazione</w:t>
      </w:r>
    </w:p>
    <w:p w14:paraId="23F705F7" w14:textId="77777777" w:rsidR="00364A1F" w:rsidRPr="00240344" w:rsidRDefault="00364A1F" w:rsidP="00826CE4">
      <w:pPr>
        <w:pStyle w:val="NormalSpaceTM"/>
        <w:spacing w:before="0"/>
        <w:rPr>
          <w:sz w:val="18"/>
          <w:szCs w:val="18"/>
        </w:rPr>
      </w:pPr>
      <w:r w:rsidRPr="00240344">
        <w:rPr>
          <w:sz w:val="18"/>
          <w:szCs w:val="18"/>
        </w:rPr>
        <w:t>Micol Biassoni</w:t>
      </w:r>
    </w:p>
    <w:p w14:paraId="56AC88E1" w14:textId="77777777" w:rsidR="00364A1F" w:rsidRPr="00240344" w:rsidRDefault="00364A1F" w:rsidP="00826CE4">
      <w:pPr>
        <w:pStyle w:val="NormalSpaceTM"/>
        <w:spacing w:before="0"/>
        <w:rPr>
          <w:sz w:val="18"/>
          <w:szCs w:val="18"/>
        </w:rPr>
      </w:pPr>
      <w:r w:rsidRPr="00240344">
        <w:rPr>
          <w:sz w:val="18"/>
          <w:szCs w:val="18"/>
        </w:rPr>
        <w:t>T. +39 345 1673267</w:t>
      </w:r>
    </w:p>
    <w:p w14:paraId="340C09C3" w14:textId="77777777" w:rsidR="00364A1F" w:rsidRPr="00240344" w:rsidRDefault="00364A1F" w:rsidP="00826CE4">
      <w:pPr>
        <w:pStyle w:val="NormalSpaceTM"/>
        <w:spacing w:before="0"/>
        <w:rPr>
          <w:sz w:val="18"/>
          <w:szCs w:val="18"/>
        </w:rPr>
      </w:pPr>
      <w:r w:rsidRPr="00240344">
        <w:rPr>
          <w:sz w:val="18"/>
          <w:szCs w:val="18"/>
        </w:rPr>
        <w:t>T. +39 02 72434241/247</w:t>
      </w:r>
    </w:p>
    <w:p w14:paraId="4CDF5881" w14:textId="77777777" w:rsidR="00364A1F" w:rsidRPr="00240344" w:rsidRDefault="00364A1F" w:rsidP="00826CE4">
      <w:pPr>
        <w:pStyle w:val="NormalSpaceTM"/>
        <w:spacing w:before="0"/>
        <w:rPr>
          <w:sz w:val="18"/>
          <w:szCs w:val="18"/>
        </w:rPr>
      </w:pPr>
      <w:r w:rsidRPr="00240344">
        <w:rPr>
          <w:sz w:val="18"/>
          <w:szCs w:val="18"/>
        </w:rPr>
        <w:t>press@triennale.org</w:t>
      </w:r>
    </w:p>
    <w:p w14:paraId="249B26D0" w14:textId="77777777" w:rsidR="00364A1F" w:rsidRPr="00240344" w:rsidRDefault="00364A1F" w:rsidP="00826CE4">
      <w:pPr>
        <w:pStyle w:val="NormalSpaceTM"/>
        <w:spacing w:before="0"/>
        <w:rPr>
          <w:sz w:val="18"/>
          <w:szCs w:val="18"/>
        </w:rPr>
      </w:pPr>
      <w:r w:rsidRPr="00240344">
        <w:rPr>
          <w:sz w:val="18"/>
          <w:szCs w:val="18"/>
        </w:rPr>
        <w:t>Elettra Zadra</w:t>
      </w:r>
    </w:p>
    <w:p w14:paraId="6F2CC90F" w14:textId="77777777" w:rsidR="00364A1F" w:rsidRPr="00240344" w:rsidRDefault="00364A1F" w:rsidP="00826CE4">
      <w:pPr>
        <w:pStyle w:val="NormalSpaceTM"/>
        <w:spacing w:before="0"/>
        <w:rPr>
          <w:sz w:val="18"/>
          <w:szCs w:val="18"/>
        </w:rPr>
      </w:pPr>
      <w:r w:rsidRPr="00240344">
        <w:rPr>
          <w:sz w:val="18"/>
          <w:szCs w:val="18"/>
        </w:rPr>
        <w:t>T. +39 335 5929854</w:t>
      </w:r>
    </w:p>
    <w:p w14:paraId="242A39F0" w14:textId="77777777" w:rsidR="00364A1F" w:rsidRPr="00240344" w:rsidRDefault="00364A1F" w:rsidP="00826CE4">
      <w:pPr>
        <w:pStyle w:val="NormalSpaceTM"/>
        <w:spacing w:before="0"/>
        <w:rPr>
          <w:sz w:val="18"/>
          <w:szCs w:val="18"/>
        </w:rPr>
      </w:pPr>
      <w:r w:rsidRPr="00240344">
        <w:rPr>
          <w:sz w:val="18"/>
          <w:szCs w:val="18"/>
        </w:rPr>
        <w:t>elettra.zadra@elettrapr.it</w:t>
      </w:r>
    </w:p>
    <w:p w14:paraId="3CAE98CC" w14:textId="77777777" w:rsidR="005345A0" w:rsidRPr="00240344" w:rsidRDefault="005345A0" w:rsidP="00826CE4">
      <w:pPr>
        <w:pStyle w:val="NormalSpaceTM"/>
        <w:spacing w:before="0"/>
        <w:rPr>
          <w:b/>
          <w:sz w:val="18"/>
          <w:szCs w:val="18"/>
        </w:rPr>
      </w:pPr>
    </w:p>
    <w:p w14:paraId="02FD7ED6" w14:textId="4CAA4F3C" w:rsidR="00364A1F" w:rsidRPr="00240344" w:rsidRDefault="00364A1F" w:rsidP="00826CE4">
      <w:pPr>
        <w:pStyle w:val="NormalSpaceTM"/>
        <w:spacing w:before="0"/>
        <w:rPr>
          <w:b/>
          <w:sz w:val="18"/>
          <w:szCs w:val="18"/>
        </w:rPr>
      </w:pPr>
      <w:r w:rsidRPr="00240344">
        <w:rPr>
          <w:b/>
          <w:sz w:val="18"/>
          <w:szCs w:val="18"/>
        </w:rPr>
        <w:t>Triennale Milano</w:t>
      </w:r>
    </w:p>
    <w:p w14:paraId="51F798A1" w14:textId="77777777" w:rsidR="00364A1F" w:rsidRPr="00240344" w:rsidRDefault="00364A1F" w:rsidP="00826CE4">
      <w:pPr>
        <w:pStyle w:val="NormalSpaceTM"/>
        <w:spacing w:before="0"/>
        <w:rPr>
          <w:sz w:val="18"/>
          <w:szCs w:val="18"/>
        </w:rPr>
      </w:pPr>
      <w:proofErr w:type="gramStart"/>
      <w:r w:rsidRPr="00240344">
        <w:rPr>
          <w:sz w:val="18"/>
          <w:szCs w:val="18"/>
        </w:rPr>
        <w:t>viale</w:t>
      </w:r>
      <w:proofErr w:type="gramEnd"/>
      <w:r w:rsidRPr="00240344">
        <w:rPr>
          <w:sz w:val="18"/>
          <w:szCs w:val="18"/>
        </w:rPr>
        <w:t xml:space="preserve"> Alemagna 6</w:t>
      </w:r>
    </w:p>
    <w:p w14:paraId="22A73DDF" w14:textId="77777777" w:rsidR="00364A1F" w:rsidRPr="00240344" w:rsidRDefault="00364A1F" w:rsidP="00826CE4">
      <w:pPr>
        <w:pStyle w:val="NormalSpaceTM"/>
        <w:spacing w:before="0"/>
        <w:rPr>
          <w:sz w:val="18"/>
          <w:szCs w:val="18"/>
        </w:rPr>
      </w:pPr>
      <w:r w:rsidRPr="00240344">
        <w:rPr>
          <w:sz w:val="18"/>
          <w:szCs w:val="18"/>
        </w:rPr>
        <w:t>20121 Milano</w:t>
      </w:r>
    </w:p>
    <w:p w14:paraId="04FD5547" w14:textId="77777777" w:rsidR="00364A1F" w:rsidRPr="00240344" w:rsidRDefault="00364A1F" w:rsidP="00826CE4">
      <w:pPr>
        <w:pStyle w:val="NormalSpaceTM"/>
        <w:spacing w:before="0"/>
        <w:rPr>
          <w:sz w:val="18"/>
          <w:szCs w:val="18"/>
        </w:rPr>
      </w:pPr>
      <w:r w:rsidRPr="00240344">
        <w:rPr>
          <w:sz w:val="18"/>
          <w:szCs w:val="18"/>
        </w:rPr>
        <w:t>T. +39 02 724341</w:t>
      </w:r>
    </w:p>
    <w:p w14:paraId="05BD404A" w14:textId="77777777" w:rsidR="00AD2CA5" w:rsidRPr="00240344" w:rsidRDefault="00235423" w:rsidP="00826CE4">
      <w:pPr>
        <w:pStyle w:val="NormalSpaceTM"/>
        <w:spacing w:before="0"/>
        <w:rPr>
          <w:sz w:val="18"/>
          <w:szCs w:val="18"/>
        </w:rPr>
      </w:pPr>
      <w:hyperlink r:id="rId9" w:history="1">
        <w:r w:rsidR="00364A1F" w:rsidRPr="00240344">
          <w:rPr>
            <w:rStyle w:val="Collegamentoipertestuale"/>
            <w:color w:val="auto"/>
            <w:sz w:val="18"/>
            <w:szCs w:val="18"/>
            <w:u w:val="none"/>
          </w:rPr>
          <w:t>www.triennale.org</w:t>
        </w:r>
      </w:hyperlink>
    </w:p>
    <w:p w14:paraId="485812E6" w14:textId="77777777" w:rsidR="00364A1F" w:rsidRPr="00240344" w:rsidRDefault="00364A1F" w:rsidP="00364A1F">
      <w:pPr>
        <w:pStyle w:val="NormalSpaceTM"/>
        <w:spacing w:before="0"/>
        <w:rPr>
          <w:sz w:val="18"/>
          <w:szCs w:val="18"/>
        </w:rPr>
      </w:pPr>
    </w:p>
    <w:p w14:paraId="75D9EE59" w14:textId="77777777" w:rsidR="00AD2CA5" w:rsidRPr="00AD2CA5" w:rsidRDefault="00AD2CA5" w:rsidP="00364A1F">
      <w:pPr>
        <w:pStyle w:val="NormalSpaceTM"/>
        <w:spacing w:before="0"/>
        <w:rPr>
          <w:rFonts w:cs="Riforma LL"/>
        </w:rPr>
      </w:pPr>
    </w:p>
    <w:sectPr w:rsidR="00AD2CA5" w:rsidRPr="00AD2CA5" w:rsidSect="002823D2">
      <w:headerReference w:type="default" r:id="rId10"/>
      <w:headerReference w:type="first" r:id="rId11"/>
      <w:pgSz w:w="11900" w:h="16840"/>
      <w:pgMar w:top="2438" w:right="1701" w:bottom="851" w:left="2552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6EEA9" w14:textId="77777777" w:rsidR="00235423" w:rsidRDefault="00235423" w:rsidP="00DD3150">
      <w:pPr>
        <w:spacing w:after="0" w:line="240" w:lineRule="auto"/>
      </w:pPr>
      <w:r>
        <w:separator/>
      </w:r>
    </w:p>
  </w:endnote>
  <w:endnote w:type="continuationSeparator" w:id="0">
    <w:p w14:paraId="11086AE3" w14:textId="77777777" w:rsidR="00235423" w:rsidRDefault="00235423" w:rsidP="00D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forma LL">
    <w:altName w:val="DejaVu Sans"/>
    <w:panose1 w:val="00000000000000000000"/>
    <w:charset w:val="4D"/>
    <w:family w:val="swiss"/>
    <w:notTrueType/>
    <w:pitch w:val="variable"/>
    <w:sig w:usb0="00000001" w:usb1="4200E0FB" w:usb2="00000008" w:usb3="00000000" w:csb0="00000093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forma Office TT">
    <w:altName w:val="Cambria"/>
    <w:charset w:val="4D"/>
    <w:family w:val="swiss"/>
    <w:pitch w:val="variable"/>
    <w:sig w:usb0="A00000FF" w:usb1="4200E0FB" w:usb2="00000008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115E5" w14:textId="77777777" w:rsidR="00235423" w:rsidRDefault="00235423" w:rsidP="00DD3150">
      <w:pPr>
        <w:spacing w:after="0" w:line="240" w:lineRule="auto"/>
      </w:pPr>
      <w:r>
        <w:separator/>
      </w:r>
    </w:p>
  </w:footnote>
  <w:footnote w:type="continuationSeparator" w:id="0">
    <w:p w14:paraId="71CAF766" w14:textId="77777777" w:rsidR="00235423" w:rsidRDefault="00235423" w:rsidP="00D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22E32" w14:textId="77777777" w:rsidR="00FC3489" w:rsidRPr="00A056D2" w:rsidRDefault="00FC3489" w:rsidP="00FC3489">
    <w:pPr>
      <w:pStyle w:val="Title10ptTM"/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39E1EC2E" wp14:editId="2B2E83E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642400" cy="1302480"/>
          <wp:effectExtent l="0" t="0" r="0" b="5715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ennale_Logo_T_marg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400" cy="130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Grigliatabella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253"/>
      <w:gridCol w:w="1701"/>
      <w:gridCol w:w="2551"/>
    </w:tblGrid>
    <w:tr w:rsidR="00FC3489" w:rsidRPr="007A240B" w14:paraId="5340AACC" w14:textId="77777777" w:rsidTr="00876E3B">
      <w:trPr>
        <w:cantSplit/>
        <w:trHeight w:hRule="exact" w:val="1814"/>
      </w:trPr>
      <w:tc>
        <w:tcPr>
          <w:tcW w:w="4253" w:type="dxa"/>
        </w:tcPr>
        <w:p w14:paraId="4B53029D" w14:textId="77777777" w:rsidR="00FC3489" w:rsidRPr="00F445A6" w:rsidRDefault="00FC3489" w:rsidP="00FC3489">
          <w:pPr>
            <w:rPr>
              <w:b/>
            </w:rPr>
          </w:pPr>
        </w:p>
      </w:tc>
      <w:tc>
        <w:tcPr>
          <w:tcW w:w="1701" w:type="dxa"/>
        </w:tcPr>
        <w:p w14:paraId="4A9821B1" w14:textId="77777777" w:rsidR="00FC3489" w:rsidRPr="007A240B" w:rsidRDefault="00FC3489" w:rsidP="00FC3489">
          <w:pPr>
            <w:spacing w:after="0" w:line="240" w:lineRule="auto"/>
            <w:rPr>
              <w:rFonts w:cs="Riforma LL"/>
              <w:b/>
              <w:sz w:val="15"/>
              <w:szCs w:val="15"/>
            </w:rPr>
          </w:pPr>
        </w:p>
      </w:tc>
      <w:tc>
        <w:tcPr>
          <w:tcW w:w="2551" w:type="dxa"/>
        </w:tcPr>
        <w:p w14:paraId="49516947" w14:textId="77777777" w:rsidR="00FC3489" w:rsidRPr="007A240B" w:rsidRDefault="00FC3489" w:rsidP="00FC3489">
          <w:pPr>
            <w:spacing w:after="0" w:line="240" w:lineRule="auto"/>
            <w:ind w:right="-423"/>
            <w:rPr>
              <w:rFonts w:cs="Riforma LL"/>
              <w:b/>
              <w:sz w:val="15"/>
              <w:szCs w:val="15"/>
            </w:rPr>
          </w:pPr>
        </w:p>
      </w:tc>
    </w:tr>
  </w:tbl>
  <w:p w14:paraId="72E5446D" w14:textId="77777777" w:rsidR="00FC3489" w:rsidRPr="007A240B" w:rsidRDefault="00FC3489" w:rsidP="00FC3489">
    <w:pPr>
      <w:pStyle w:val="Title10ptTM"/>
      <w:rPr>
        <w:sz w:val="2"/>
        <w:szCs w:val="2"/>
      </w:rPr>
    </w:pPr>
  </w:p>
  <w:p w14:paraId="607EEE26" w14:textId="77777777" w:rsidR="00A056D2" w:rsidRPr="00FC3489" w:rsidRDefault="00A056D2" w:rsidP="00FC348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9B5EB" w14:textId="77777777" w:rsidR="00B76A69" w:rsidRPr="00A056D2" w:rsidRDefault="008960FC" w:rsidP="00B76A69">
    <w:pPr>
      <w:pStyle w:val="Title10ptTM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328794BB" wp14:editId="166192E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642400" cy="1302480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ennale_Logo_T_marg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400" cy="130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Grigliatabella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253"/>
      <w:gridCol w:w="1701"/>
      <w:gridCol w:w="2551"/>
    </w:tblGrid>
    <w:tr w:rsidR="00FC3489" w:rsidRPr="007A240B" w14:paraId="53AB635B" w14:textId="77777777" w:rsidTr="00FC3489">
      <w:trPr>
        <w:cantSplit/>
        <w:trHeight w:hRule="exact" w:val="1814"/>
      </w:trPr>
      <w:tc>
        <w:tcPr>
          <w:tcW w:w="4253" w:type="dxa"/>
        </w:tcPr>
        <w:p w14:paraId="43D4CD91" w14:textId="77777777" w:rsidR="003E227C" w:rsidRPr="00F445A6" w:rsidRDefault="003E227C" w:rsidP="00F445A6">
          <w:pPr>
            <w:rPr>
              <w:b/>
            </w:rPr>
          </w:pPr>
        </w:p>
      </w:tc>
      <w:tc>
        <w:tcPr>
          <w:tcW w:w="1701" w:type="dxa"/>
        </w:tcPr>
        <w:p w14:paraId="55DF06C5" w14:textId="77777777" w:rsidR="003E227C" w:rsidRPr="007A240B" w:rsidRDefault="003E227C" w:rsidP="00FC3489">
          <w:pPr>
            <w:spacing w:after="0" w:line="240" w:lineRule="auto"/>
            <w:rPr>
              <w:rFonts w:cs="Riforma LL"/>
              <w:b/>
              <w:sz w:val="15"/>
              <w:szCs w:val="15"/>
            </w:rPr>
          </w:pPr>
        </w:p>
      </w:tc>
      <w:tc>
        <w:tcPr>
          <w:tcW w:w="2551" w:type="dxa"/>
        </w:tcPr>
        <w:p w14:paraId="68139E43" w14:textId="77777777" w:rsidR="003E227C" w:rsidRPr="007A240B" w:rsidRDefault="003E227C" w:rsidP="00FC3489">
          <w:pPr>
            <w:spacing w:after="0" w:line="240" w:lineRule="auto"/>
            <w:ind w:right="-423"/>
            <w:rPr>
              <w:rFonts w:cs="Riforma LL"/>
              <w:b/>
              <w:sz w:val="15"/>
              <w:szCs w:val="15"/>
            </w:rPr>
          </w:pPr>
        </w:p>
      </w:tc>
    </w:tr>
  </w:tbl>
  <w:p w14:paraId="710F6CED" w14:textId="77777777" w:rsidR="00B76A69" w:rsidRPr="007A240B" w:rsidRDefault="00B76A69" w:rsidP="002823D2">
    <w:pPr>
      <w:pStyle w:val="Title10ptTM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82DB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342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327A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6E47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FEC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F8C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B819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F475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8AC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EEB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16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D162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9BF0AD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EDB1B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5686843"/>
    <w:multiLevelType w:val="hybridMultilevel"/>
    <w:tmpl w:val="2714871E"/>
    <w:lvl w:ilvl="0" w:tplc="04B62A2A">
      <w:start w:val="1"/>
      <w:numFmt w:val="bullet"/>
      <w:pStyle w:val="ListBulletTM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02C9D"/>
    <w:multiLevelType w:val="multilevel"/>
    <w:tmpl w:val="AA7A753C"/>
    <w:lvl w:ilvl="0">
      <w:start w:val="1"/>
      <w:numFmt w:val="decimal"/>
      <w:pStyle w:val="ListNrTM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F385C00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5F679B5"/>
    <w:multiLevelType w:val="multilevel"/>
    <w:tmpl w:val="2B9EBF84"/>
    <w:lvl w:ilvl="0">
      <w:start w:val="1"/>
      <w:numFmt w:val="decimal"/>
      <w:pStyle w:val="Halftitle14ptTM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alftitle10ptTM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alftitle10ptTM0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8" w15:restartNumberingAfterBreak="0">
    <w:nsid w:val="7D0C78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7"/>
  </w:num>
  <w:num w:numId="17">
    <w:abstractNumId w:val="17"/>
  </w:num>
  <w:num w:numId="18">
    <w:abstractNumId w:val="17"/>
  </w:num>
  <w:num w:numId="19">
    <w:abstractNumId w:val="11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131078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E7"/>
    <w:rsid w:val="0001256A"/>
    <w:rsid w:val="00024D3E"/>
    <w:rsid w:val="00040BAE"/>
    <w:rsid w:val="00055E04"/>
    <w:rsid w:val="00084F16"/>
    <w:rsid w:val="000A36C8"/>
    <w:rsid w:val="000C3978"/>
    <w:rsid w:val="000E068F"/>
    <w:rsid w:val="000E2EF3"/>
    <w:rsid w:val="000F548B"/>
    <w:rsid w:val="00176D39"/>
    <w:rsid w:val="00181CDE"/>
    <w:rsid w:val="001874B8"/>
    <w:rsid w:val="001A1B13"/>
    <w:rsid w:val="001A441B"/>
    <w:rsid w:val="001B1774"/>
    <w:rsid w:val="001B4375"/>
    <w:rsid w:val="001C7D75"/>
    <w:rsid w:val="001D152F"/>
    <w:rsid w:val="001D1654"/>
    <w:rsid w:val="001D707F"/>
    <w:rsid w:val="001E78B6"/>
    <w:rsid w:val="001F2D6B"/>
    <w:rsid w:val="001F7A0B"/>
    <w:rsid w:val="00204F62"/>
    <w:rsid w:val="00214B3C"/>
    <w:rsid w:val="00224DF8"/>
    <w:rsid w:val="00235423"/>
    <w:rsid w:val="00240344"/>
    <w:rsid w:val="0024132D"/>
    <w:rsid w:val="00262607"/>
    <w:rsid w:val="0027799B"/>
    <w:rsid w:val="002823D2"/>
    <w:rsid w:val="002830EB"/>
    <w:rsid w:val="002C2ED1"/>
    <w:rsid w:val="002C688C"/>
    <w:rsid w:val="002D7FA4"/>
    <w:rsid w:val="002E4911"/>
    <w:rsid w:val="002E4A7D"/>
    <w:rsid w:val="002F082D"/>
    <w:rsid w:val="002F5F2D"/>
    <w:rsid w:val="00325AF8"/>
    <w:rsid w:val="0033200B"/>
    <w:rsid w:val="00335B85"/>
    <w:rsid w:val="00337CA1"/>
    <w:rsid w:val="00342CA6"/>
    <w:rsid w:val="00350D24"/>
    <w:rsid w:val="00351CEA"/>
    <w:rsid w:val="003573A0"/>
    <w:rsid w:val="00364A1F"/>
    <w:rsid w:val="00370F0C"/>
    <w:rsid w:val="003739D9"/>
    <w:rsid w:val="0037776A"/>
    <w:rsid w:val="00385792"/>
    <w:rsid w:val="003B7AC9"/>
    <w:rsid w:val="003D4391"/>
    <w:rsid w:val="003E227C"/>
    <w:rsid w:val="003F6255"/>
    <w:rsid w:val="003F7930"/>
    <w:rsid w:val="004067CA"/>
    <w:rsid w:val="00406C64"/>
    <w:rsid w:val="00415837"/>
    <w:rsid w:val="00422923"/>
    <w:rsid w:val="0042758A"/>
    <w:rsid w:val="00432268"/>
    <w:rsid w:val="004462DD"/>
    <w:rsid w:val="00457D80"/>
    <w:rsid w:val="00473B12"/>
    <w:rsid w:val="004742BB"/>
    <w:rsid w:val="00477E19"/>
    <w:rsid w:val="00487935"/>
    <w:rsid w:val="004A1CED"/>
    <w:rsid w:val="004A3244"/>
    <w:rsid w:val="004B57A9"/>
    <w:rsid w:val="004B69E2"/>
    <w:rsid w:val="004C4345"/>
    <w:rsid w:val="004E0311"/>
    <w:rsid w:val="0050029A"/>
    <w:rsid w:val="005039CC"/>
    <w:rsid w:val="005345A0"/>
    <w:rsid w:val="0055430C"/>
    <w:rsid w:val="005809C9"/>
    <w:rsid w:val="005874E6"/>
    <w:rsid w:val="005B09F3"/>
    <w:rsid w:val="005D0FB2"/>
    <w:rsid w:val="005D579E"/>
    <w:rsid w:val="005D765B"/>
    <w:rsid w:val="006029F7"/>
    <w:rsid w:val="006102A2"/>
    <w:rsid w:val="00622557"/>
    <w:rsid w:val="00634617"/>
    <w:rsid w:val="00636D5C"/>
    <w:rsid w:val="00641802"/>
    <w:rsid w:val="00654272"/>
    <w:rsid w:val="00654C1D"/>
    <w:rsid w:val="006747FB"/>
    <w:rsid w:val="00693292"/>
    <w:rsid w:val="006B0982"/>
    <w:rsid w:val="006B6AB0"/>
    <w:rsid w:val="006C4553"/>
    <w:rsid w:val="006E69B2"/>
    <w:rsid w:val="0070741F"/>
    <w:rsid w:val="00713919"/>
    <w:rsid w:val="00715588"/>
    <w:rsid w:val="00736980"/>
    <w:rsid w:val="00773A02"/>
    <w:rsid w:val="007760B7"/>
    <w:rsid w:val="00793BD3"/>
    <w:rsid w:val="00795CB8"/>
    <w:rsid w:val="007A240B"/>
    <w:rsid w:val="007A38CC"/>
    <w:rsid w:val="007B0DE1"/>
    <w:rsid w:val="007B4760"/>
    <w:rsid w:val="007C5D2C"/>
    <w:rsid w:val="007D3D19"/>
    <w:rsid w:val="007D527D"/>
    <w:rsid w:val="00801FF2"/>
    <w:rsid w:val="00803925"/>
    <w:rsid w:val="00821191"/>
    <w:rsid w:val="00826CE4"/>
    <w:rsid w:val="0083589B"/>
    <w:rsid w:val="008475F3"/>
    <w:rsid w:val="00857F99"/>
    <w:rsid w:val="00871E2A"/>
    <w:rsid w:val="0087659C"/>
    <w:rsid w:val="00876E3B"/>
    <w:rsid w:val="00890124"/>
    <w:rsid w:val="008960FC"/>
    <w:rsid w:val="008A23A1"/>
    <w:rsid w:val="008A44B9"/>
    <w:rsid w:val="008B5F0C"/>
    <w:rsid w:val="008D3BCD"/>
    <w:rsid w:val="008E13A7"/>
    <w:rsid w:val="008E5F8A"/>
    <w:rsid w:val="008E6A89"/>
    <w:rsid w:val="008F2160"/>
    <w:rsid w:val="00912D44"/>
    <w:rsid w:val="009174A6"/>
    <w:rsid w:val="00963961"/>
    <w:rsid w:val="0096627E"/>
    <w:rsid w:val="00971D1D"/>
    <w:rsid w:val="00974351"/>
    <w:rsid w:val="009A015D"/>
    <w:rsid w:val="009A14C8"/>
    <w:rsid w:val="009B463D"/>
    <w:rsid w:val="009B6B6D"/>
    <w:rsid w:val="009B7D95"/>
    <w:rsid w:val="009C703F"/>
    <w:rsid w:val="009E5C30"/>
    <w:rsid w:val="009F1F8B"/>
    <w:rsid w:val="009F3C36"/>
    <w:rsid w:val="00A01130"/>
    <w:rsid w:val="00A04BF5"/>
    <w:rsid w:val="00A053DC"/>
    <w:rsid w:val="00A056D2"/>
    <w:rsid w:val="00A266B7"/>
    <w:rsid w:val="00A32DA4"/>
    <w:rsid w:val="00A417F7"/>
    <w:rsid w:val="00A44AD4"/>
    <w:rsid w:val="00A54D00"/>
    <w:rsid w:val="00A57A6A"/>
    <w:rsid w:val="00A6426A"/>
    <w:rsid w:val="00A70164"/>
    <w:rsid w:val="00A7372A"/>
    <w:rsid w:val="00A76538"/>
    <w:rsid w:val="00A76DDA"/>
    <w:rsid w:val="00A77A05"/>
    <w:rsid w:val="00A94BD4"/>
    <w:rsid w:val="00AA589B"/>
    <w:rsid w:val="00AA7F01"/>
    <w:rsid w:val="00AB532C"/>
    <w:rsid w:val="00AD0F42"/>
    <w:rsid w:val="00AD2CA5"/>
    <w:rsid w:val="00B05464"/>
    <w:rsid w:val="00B76A69"/>
    <w:rsid w:val="00B8271B"/>
    <w:rsid w:val="00BA22E5"/>
    <w:rsid w:val="00BA2906"/>
    <w:rsid w:val="00BA5BDE"/>
    <w:rsid w:val="00BC0383"/>
    <w:rsid w:val="00BC2F51"/>
    <w:rsid w:val="00BD75D6"/>
    <w:rsid w:val="00BE0AD0"/>
    <w:rsid w:val="00C0546C"/>
    <w:rsid w:val="00C36CBF"/>
    <w:rsid w:val="00C36E10"/>
    <w:rsid w:val="00C56DB3"/>
    <w:rsid w:val="00C6145C"/>
    <w:rsid w:val="00C7257C"/>
    <w:rsid w:val="00C93E04"/>
    <w:rsid w:val="00C9698F"/>
    <w:rsid w:val="00CC1C79"/>
    <w:rsid w:val="00CD54BD"/>
    <w:rsid w:val="00CF2BF1"/>
    <w:rsid w:val="00D14579"/>
    <w:rsid w:val="00D255B9"/>
    <w:rsid w:val="00D30F3A"/>
    <w:rsid w:val="00D3642D"/>
    <w:rsid w:val="00D5395C"/>
    <w:rsid w:val="00D62EE7"/>
    <w:rsid w:val="00D77325"/>
    <w:rsid w:val="00D9406D"/>
    <w:rsid w:val="00DA6AD1"/>
    <w:rsid w:val="00DC47CC"/>
    <w:rsid w:val="00DD3150"/>
    <w:rsid w:val="00DE30FB"/>
    <w:rsid w:val="00E00BD2"/>
    <w:rsid w:val="00E02439"/>
    <w:rsid w:val="00E04D45"/>
    <w:rsid w:val="00E06A8C"/>
    <w:rsid w:val="00E12075"/>
    <w:rsid w:val="00E36FE7"/>
    <w:rsid w:val="00E53C7A"/>
    <w:rsid w:val="00E55BE7"/>
    <w:rsid w:val="00E655CA"/>
    <w:rsid w:val="00EA35D8"/>
    <w:rsid w:val="00EC66CA"/>
    <w:rsid w:val="00ED1A35"/>
    <w:rsid w:val="00ED24A7"/>
    <w:rsid w:val="00F053A3"/>
    <w:rsid w:val="00F24895"/>
    <w:rsid w:val="00F30E70"/>
    <w:rsid w:val="00F445A6"/>
    <w:rsid w:val="00F46A2E"/>
    <w:rsid w:val="00F714AA"/>
    <w:rsid w:val="00F714C1"/>
    <w:rsid w:val="00FA5B0C"/>
    <w:rsid w:val="00FC2816"/>
    <w:rsid w:val="00FC3489"/>
    <w:rsid w:val="00FD7E11"/>
    <w:rsid w:val="00FF001A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E3FF0"/>
  <w15:chartTrackingRefBased/>
  <w15:docId w15:val="{326AC2B2-3AB1-4D50-ABC2-15FCF4DE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7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D14579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right" w:pos="8505"/>
      </w:tabs>
      <w:spacing w:after="120" w:line="240" w:lineRule="exact"/>
    </w:pPr>
    <w:rPr>
      <w:rFonts w:ascii="Riforma LL" w:hAnsi="Riforma LL" w:cs="Times New Roman (Body CS)"/>
      <w:sz w:val="20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semiHidden/>
    <w:rsid w:val="00C36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rsid w:val="00D145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qFormat/>
    <w:rsid w:val="00D145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3739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60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607"/>
    <w:rPr>
      <w:rFonts w:ascii="Times New Roman" w:hAnsi="Times New Roman" w:cs="Times New Roman"/>
      <w:sz w:val="18"/>
      <w:szCs w:val="18"/>
      <w:lang w:val="it-IT"/>
    </w:rPr>
  </w:style>
  <w:style w:type="paragraph" w:customStyle="1" w:styleId="Text75ptTM">
    <w:name w:val="Text 7.5pt TM"/>
    <w:basedOn w:val="NormalTM"/>
    <w:qFormat/>
    <w:rsid w:val="005D579E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right" w:pos="8505"/>
      </w:tabs>
    </w:pPr>
    <w:rPr>
      <w:sz w:val="15"/>
    </w:rPr>
  </w:style>
  <w:style w:type="paragraph" w:customStyle="1" w:styleId="NormalTM">
    <w:name w:val="Normal TM"/>
    <w:link w:val="NormalTMChar"/>
    <w:qFormat/>
    <w:rsid w:val="00DA6AD1"/>
    <w:pPr>
      <w:tabs>
        <w:tab w:val="left" w:pos="284"/>
      </w:tabs>
    </w:pPr>
    <w:rPr>
      <w:rFonts w:ascii="Riforma LL" w:hAnsi="Riforma LL"/>
      <w:kern w:val="2"/>
      <w:sz w:val="20"/>
      <w:szCs w:val="20"/>
      <w:lang w:val="it-IT"/>
    </w:rPr>
  </w:style>
  <w:style w:type="character" w:customStyle="1" w:styleId="NormalTMChar">
    <w:name w:val="Normal TM Char"/>
    <w:basedOn w:val="Carpredefinitoparagrafo"/>
    <w:link w:val="NormalTM"/>
    <w:rsid w:val="003739D9"/>
    <w:rPr>
      <w:rFonts w:ascii="Riforma LL" w:hAnsi="Riforma LL"/>
      <w:kern w:val="2"/>
      <w:sz w:val="20"/>
      <w:szCs w:val="20"/>
      <w:lang w:val="it-IT"/>
    </w:rPr>
  </w:style>
  <w:style w:type="paragraph" w:customStyle="1" w:styleId="NormalSpaceTM">
    <w:name w:val="Normal Space TM"/>
    <w:basedOn w:val="Normale"/>
    <w:qFormat/>
    <w:rsid w:val="00DA6AD1"/>
    <w:pPr>
      <w:tabs>
        <w:tab w:val="left" w:pos="284"/>
      </w:tabs>
      <w:spacing w:before="120" w:after="0" w:line="240" w:lineRule="auto"/>
    </w:pPr>
    <w:rPr>
      <w:rFonts w:cstheme="minorBidi"/>
      <w:kern w:val="20"/>
      <w:szCs w:val="20"/>
    </w:rPr>
  </w:style>
  <w:style w:type="paragraph" w:customStyle="1" w:styleId="ListBulletTM">
    <w:name w:val="List Bullet TM"/>
    <w:basedOn w:val="NormalTM"/>
    <w:next w:val="NormalTM"/>
    <w:link w:val="ListBulletTMChar"/>
    <w:uiPriority w:val="7"/>
    <w:qFormat/>
    <w:rsid w:val="00DA6AD1"/>
    <w:pPr>
      <w:numPr>
        <w:numId w:val="14"/>
      </w:numPr>
      <w:tabs>
        <w:tab w:val="right" w:pos="6804"/>
      </w:tabs>
    </w:pPr>
    <w:rPr>
      <w:szCs w:val="22"/>
    </w:rPr>
  </w:style>
  <w:style w:type="character" w:customStyle="1" w:styleId="ListBulletTMChar">
    <w:name w:val="List Bullet TM Char"/>
    <w:basedOn w:val="Carpredefinitoparagrafo"/>
    <w:link w:val="ListBulletTM"/>
    <w:uiPriority w:val="7"/>
    <w:rsid w:val="005D765B"/>
    <w:rPr>
      <w:rFonts w:ascii="Riforma LL" w:hAnsi="Riforma LL"/>
      <w:kern w:val="2"/>
      <w:sz w:val="20"/>
      <w:szCs w:val="22"/>
      <w:lang w:val="it-IT"/>
    </w:rPr>
  </w:style>
  <w:style w:type="paragraph" w:customStyle="1" w:styleId="SubjectLetterTM">
    <w:name w:val="Subject Letter TM"/>
    <w:uiPriority w:val="1"/>
    <w:qFormat/>
    <w:rsid w:val="00A7372A"/>
    <w:pPr>
      <w:spacing w:before="60" w:after="480"/>
      <w:contextualSpacing/>
    </w:pPr>
    <w:rPr>
      <w:rFonts w:ascii="Riforma LL" w:hAnsi="Riforma LL"/>
      <w:b/>
      <w:kern w:val="2"/>
      <w:sz w:val="20"/>
      <w:szCs w:val="20"/>
      <w:lang w:val="it-IT"/>
    </w:rPr>
  </w:style>
  <w:style w:type="paragraph" w:customStyle="1" w:styleId="Title16ptTM">
    <w:name w:val="Title 16pt TM"/>
    <w:uiPriority w:val="1"/>
    <w:qFormat/>
    <w:rsid w:val="007C5D2C"/>
    <w:pPr>
      <w:spacing w:after="120"/>
      <w:contextualSpacing/>
    </w:pPr>
    <w:rPr>
      <w:rFonts w:ascii="Riforma LL" w:hAnsi="Riforma LL"/>
      <w:b/>
      <w:kern w:val="2"/>
      <w:sz w:val="32"/>
      <w:szCs w:val="20"/>
      <w:lang w:val="it-IT"/>
    </w:rPr>
  </w:style>
  <w:style w:type="paragraph" w:customStyle="1" w:styleId="ListNrTM">
    <w:name w:val="List Nr. TM"/>
    <w:basedOn w:val="NormalTM"/>
    <w:link w:val="ListNrTMChar"/>
    <w:uiPriority w:val="8"/>
    <w:qFormat/>
    <w:rsid w:val="006E69B2"/>
    <w:pPr>
      <w:numPr>
        <w:numId w:val="15"/>
      </w:numPr>
    </w:pPr>
    <w:rPr>
      <w:rFonts w:ascii="Riforma Office TT" w:hAnsi="Riforma Office TT" w:cs="Arial"/>
      <w:lang w:val="de-CH"/>
    </w:rPr>
  </w:style>
  <w:style w:type="character" w:customStyle="1" w:styleId="ListNrTMChar">
    <w:name w:val="List Nr. TM Char"/>
    <w:basedOn w:val="Carpredefinitoparagrafo"/>
    <w:link w:val="ListNrTM"/>
    <w:uiPriority w:val="8"/>
    <w:rsid w:val="005D765B"/>
    <w:rPr>
      <w:rFonts w:ascii="Riforma Office TT" w:hAnsi="Riforma Office TT" w:cs="Arial"/>
      <w:kern w:val="2"/>
      <w:sz w:val="20"/>
      <w:szCs w:val="20"/>
      <w:lang w:val="de-CH"/>
    </w:rPr>
  </w:style>
  <w:style w:type="paragraph" w:customStyle="1" w:styleId="Title14ptTM">
    <w:name w:val="Title 14pt TM"/>
    <w:basedOn w:val="Title16ptTM"/>
    <w:uiPriority w:val="2"/>
    <w:qFormat/>
    <w:rsid w:val="006E69B2"/>
    <w:pPr>
      <w:spacing w:before="240"/>
    </w:pPr>
    <w:rPr>
      <w:sz w:val="28"/>
    </w:rPr>
  </w:style>
  <w:style w:type="paragraph" w:customStyle="1" w:styleId="Halftitle14ptTM">
    <w:name w:val="Halftitle 14pt TM"/>
    <w:next w:val="NormalSpaceTM"/>
    <w:uiPriority w:val="4"/>
    <w:qFormat/>
    <w:rsid w:val="007C5D2C"/>
    <w:pPr>
      <w:numPr>
        <w:numId w:val="18"/>
      </w:numPr>
      <w:spacing w:before="480" w:after="120"/>
    </w:pPr>
    <w:rPr>
      <w:rFonts w:ascii="Riforma LL" w:hAnsi="Riforma LL"/>
      <w:b/>
      <w:kern w:val="2"/>
      <w:sz w:val="28"/>
      <w:szCs w:val="22"/>
      <w:lang w:val="it-IT"/>
    </w:rPr>
  </w:style>
  <w:style w:type="paragraph" w:customStyle="1" w:styleId="Halftitle10ptTM">
    <w:name w:val="Halftitle 10 pt TM"/>
    <w:basedOn w:val="Halftitle14ptTM"/>
    <w:next w:val="NormalSpaceTM"/>
    <w:uiPriority w:val="5"/>
    <w:qFormat/>
    <w:rsid w:val="006E69B2"/>
    <w:pPr>
      <w:numPr>
        <w:ilvl w:val="1"/>
      </w:numPr>
      <w:spacing w:before="240"/>
    </w:pPr>
    <w:rPr>
      <w:sz w:val="20"/>
    </w:rPr>
  </w:style>
  <w:style w:type="paragraph" w:customStyle="1" w:styleId="Halftitle10ptTM0">
    <w:name w:val="Halftitle 10pt TM"/>
    <w:basedOn w:val="Halftitle10ptTM"/>
    <w:next w:val="NormalSpaceTM"/>
    <w:uiPriority w:val="6"/>
    <w:qFormat/>
    <w:rsid w:val="006E69B2"/>
    <w:pPr>
      <w:numPr>
        <w:ilvl w:val="2"/>
      </w:numPr>
    </w:pPr>
  </w:style>
  <w:style w:type="paragraph" w:customStyle="1" w:styleId="Title10ptTM">
    <w:name w:val="Title 10pt TM"/>
    <w:basedOn w:val="NormalTM"/>
    <w:uiPriority w:val="3"/>
    <w:qFormat/>
    <w:rsid w:val="007C5D2C"/>
    <w:pPr>
      <w:spacing w:before="240"/>
    </w:pPr>
    <w:rPr>
      <w:b/>
    </w:rPr>
  </w:style>
  <w:style w:type="table" w:styleId="Grigliatabella">
    <w:name w:val="Table Grid"/>
    <w:basedOn w:val="Tabellanormale"/>
    <w:uiPriority w:val="39"/>
    <w:rsid w:val="00B76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C6145C"/>
    <w:rPr>
      <w:color w:val="808080"/>
    </w:rPr>
  </w:style>
  <w:style w:type="paragraph" w:styleId="Intestazione">
    <w:name w:val="header"/>
    <w:basedOn w:val="Normale"/>
    <w:link w:val="IntestazioneCarattere"/>
    <w:uiPriority w:val="99"/>
    <w:semiHidden/>
    <w:rsid w:val="005039CC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39D9"/>
    <w:rPr>
      <w:rFonts w:ascii="Riforma LL" w:hAnsi="Riforma LL" w:cs="Times New Roman (Body CS)"/>
      <w:sz w:val="20"/>
      <w:lang w:val="it-IT"/>
    </w:rPr>
  </w:style>
  <w:style w:type="paragraph" w:styleId="Pidipagina">
    <w:name w:val="footer"/>
    <w:basedOn w:val="Normale"/>
    <w:link w:val="PidipaginaCarattere"/>
    <w:uiPriority w:val="99"/>
    <w:semiHidden/>
    <w:rsid w:val="005039CC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739D9"/>
    <w:rPr>
      <w:rFonts w:ascii="Riforma LL" w:hAnsi="Riforma LL" w:cs="Times New Roman (Body CS)"/>
      <w:sz w:val="20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1457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14579"/>
    <w:rPr>
      <w:rFonts w:asciiTheme="majorHAnsi" w:eastAsiaTheme="majorEastAsia" w:hAnsiTheme="majorHAnsi" w:cstheme="majorBidi"/>
      <w:color w:val="1F3763" w:themeColor="accent1" w:themeShade="7F"/>
      <w:lang w:val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655CA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right" w:pos="7637"/>
      </w:tabs>
      <w:spacing w:after="0"/>
      <w:ind w:left="851" w:hanging="851"/>
    </w:pPr>
    <w:rPr>
      <w:b/>
      <w:noProof/>
    </w:rPr>
  </w:style>
  <w:style w:type="paragraph" w:styleId="Sommario2">
    <w:name w:val="toc 2"/>
    <w:basedOn w:val="Sommario1"/>
    <w:next w:val="Normale"/>
    <w:autoRedefine/>
    <w:uiPriority w:val="39"/>
    <w:unhideWhenUsed/>
    <w:rsid w:val="00E655CA"/>
    <w:rPr>
      <w:b w:val="0"/>
    </w:rPr>
  </w:style>
  <w:style w:type="paragraph" w:styleId="Sommario3">
    <w:name w:val="toc 3"/>
    <w:basedOn w:val="Sommario2"/>
    <w:next w:val="Normale"/>
    <w:autoRedefine/>
    <w:uiPriority w:val="39"/>
    <w:unhideWhenUsed/>
    <w:rsid w:val="00E655CA"/>
  </w:style>
  <w:style w:type="character" w:styleId="Collegamentoipertestuale">
    <w:name w:val="Hyperlink"/>
    <w:basedOn w:val="Carpredefinitoparagrafo"/>
    <w:uiPriority w:val="99"/>
    <w:rsid w:val="00D14579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E55BE7"/>
    <w:rPr>
      <w:i/>
      <w:iCs/>
    </w:rPr>
  </w:style>
  <w:style w:type="character" w:customStyle="1" w:styleId="cf01">
    <w:name w:val="cf01"/>
    <w:basedOn w:val="Carpredefinitoparagrafo"/>
    <w:rsid w:val="00C93E0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638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9610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7434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49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748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5675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7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triennal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o.Ippolito\Desktop\Planeta%20Ukra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[scegliere data]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858D58-B897-4E92-A844-0E292B7D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Planeta Ukrain</Template>
  <TotalTime>36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TM_Lettera</vt:lpstr>
      <vt:lpstr>TM_Lettera</vt:lpstr>
      <vt:lpstr>Lettera</vt:lpstr>
    </vt:vector>
  </TitlesOfParts>
  <Manager/>
  <Company>Triennale Milano</Company>
  <LinksUpToDate>false</LinksUpToDate>
  <CharactersWithSpaces>4449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TM_Lettera</dc:title>
  <dc:subject/>
  <dc:creator>Fabio Ippolito</dc:creator>
  <cp:keywords/>
  <dc:description/>
  <cp:lastModifiedBy>EPR07</cp:lastModifiedBy>
  <cp:revision>6</cp:revision>
  <cp:lastPrinted>2022-10-11T17:10:00Z</cp:lastPrinted>
  <dcterms:created xsi:type="dcterms:W3CDTF">2022-10-11T17:10:00Z</dcterms:created>
  <dcterms:modified xsi:type="dcterms:W3CDTF">2022-10-12T09:22:00Z</dcterms:modified>
  <cp:category/>
</cp:coreProperties>
</file>