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7D0" w:rsidRDefault="00C917D0">
      <w:pPr>
        <w:rPr>
          <w:rFonts w:ascii="Calibri" w:eastAsia="Calibri" w:hAnsi="Calibri" w:cs="Calibri"/>
        </w:rPr>
      </w:pPr>
    </w:p>
    <w:p w:rsidR="00C917D0" w:rsidRDefault="0097710D">
      <w:pPr>
        <w:jc w:val="center"/>
        <w:rPr>
          <w:b/>
          <w:sz w:val="20"/>
          <w:szCs w:val="20"/>
        </w:rPr>
      </w:pPr>
      <w:r>
        <w:rPr>
          <w:b/>
          <w:sz w:val="20"/>
          <w:szCs w:val="20"/>
        </w:rPr>
        <w:t>A.F 2022-2023</w:t>
      </w:r>
    </w:p>
    <w:p w:rsidR="00C917D0" w:rsidRDefault="0097710D">
      <w:pPr>
        <w:jc w:val="center"/>
        <w:rPr>
          <w:b/>
          <w:sz w:val="20"/>
          <w:szCs w:val="20"/>
        </w:rPr>
      </w:pPr>
      <w:r>
        <w:rPr>
          <w:b/>
          <w:sz w:val="20"/>
          <w:szCs w:val="20"/>
        </w:rPr>
        <w:t>COMUNICATO STAMPA n.1</w:t>
      </w:r>
    </w:p>
    <w:p w:rsidR="00C917D0" w:rsidRDefault="00C917D0">
      <w:pPr>
        <w:jc w:val="center"/>
        <w:rPr>
          <w:b/>
          <w:sz w:val="20"/>
          <w:szCs w:val="20"/>
        </w:rPr>
      </w:pPr>
    </w:p>
    <w:p w:rsidR="00C917D0" w:rsidRDefault="00C917D0">
      <w:pPr>
        <w:jc w:val="right"/>
        <w:rPr>
          <w:b/>
          <w:sz w:val="20"/>
          <w:szCs w:val="20"/>
        </w:rPr>
      </w:pPr>
    </w:p>
    <w:p w:rsidR="00C917D0" w:rsidRDefault="00F51002">
      <w:pPr>
        <w:jc w:val="center"/>
        <w:rPr>
          <w:b/>
          <w:sz w:val="28"/>
          <w:szCs w:val="28"/>
        </w:rPr>
      </w:pPr>
      <w:r>
        <w:rPr>
          <w:b/>
          <w:sz w:val="28"/>
          <w:szCs w:val="28"/>
        </w:rPr>
        <w:t xml:space="preserve">Scuola d'Arte Andrea </w:t>
      </w:r>
      <w:proofErr w:type="spellStart"/>
      <w:r>
        <w:rPr>
          <w:b/>
          <w:sz w:val="28"/>
          <w:szCs w:val="28"/>
        </w:rPr>
        <w:t>Fantoni</w:t>
      </w:r>
      <w:proofErr w:type="spellEnd"/>
      <w:r>
        <w:rPr>
          <w:b/>
          <w:sz w:val="28"/>
          <w:szCs w:val="28"/>
        </w:rPr>
        <w:t xml:space="preserve"> e I Maestri del Paesaggio 2022</w:t>
      </w:r>
    </w:p>
    <w:p w:rsidR="00C917D0" w:rsidRDefault="00C917D0">
      <w:pPr>
        <w:jc w:val="center"/>
        <w:rPr>
          <w:b/>
          <w:sz w:val="28"/>
          <w:szCs w:val="28"/>
        </w:rPr>
      </w:pPr>
    </w:p>
    <w:p w:rsidR="00C917D0" w:rsidRDefault="00F51002">
      <w:pPr>
        <w:pBdr>
          <w:top w:val="nil"/>
          <w:left w:val="nil"/>
          <w:bottom w:val="nil"/>
          <w:right w:val="nil"/>
          <w:between w:val="nil"/>
        </w:pBdr>
        <w:jc w:val="center"/>
        <w:rPr>
          <w:b/>
          <w:color w:val="000000"/>
        </w:rPr>
      </w:pPr>
      <w:r>
        <w:rPr>
          <w:b/>
          <w:i/>
          <w:color w:val="000000"/>
        </w:rPr>
        <w:t>WE ARE LANDSCAPE</w:t>
      </w:r>
      <w:r>
        <w:rPr>
          <w:b/>
          <w:color w:val="000000"/>
        </w:rPr>
        <w:t>, MOSTRA DEGLI STUDENTI DEL LICEO ARTISTICO SU CASSIAN SCHMIDT E L</w:t>
      </w:r>
      <w:r>
        <w:rPr>
          <w:b/>
        </w:rPr>
        <w:t>’UNIVERSITA</w:t>
      </w:r>
      <w:r w:rsidR="0097710D">
        <w:rPr>
          <w:b/>
        </w:rPr>
        <w:t>’</w:t>
      </w:r>
      <w:r>
        <w:rPr>
          <w:b/>
        </w:rPr>
        <w:t xml:space="preserve"> WEIHENSTEPHAN.TRIESDORF</w:t>
      </w:r>
    </w:p>
    <w:p w:rsidR="00C917D0" w:rsidRDefault="00F51002">
      <w:pPr>
        <w:pBdr>
          <w:top w:val="nil"/>
          <w:left w:val="nil"/>
          <w:bottom w:val="nil"/>
          <w:right w:val="nil"/>
          <w:between w:val="nil"/>
        </w:pBdr>
        <w:jc w:val="center"/>
        <w:rPr>
          <w:b/>
          <w:color w:val="000000"/>
        </w:rPr>
      </w:pPr>
      <w:r>
        <w:rPr>
          <w:b/>
          <w:color w:val="000000"/>
        </w:rPr>
        <w:t>ex Ateneo Città Alta – P.zza Reginaldo Giuliani</w:t>
      </w:r>
    </w:p>
    <w:p w:rsidR="00C917D0" w:rsidRDefault="0097710D">
      <w:pPr>
        <w:pBdr>
          <w:top w:val="nil"/>
          <w:left w:val="nil"/>
          <w:bottom w:val="nil"/>
          <w:right w:val="nil"/>
          <w:between w:val="nil"/>
        </w:pBdr>
        <w:jc w:val="center"/>
        <w:rPr>
          <w:b/>
          <w:color w:val="000000"/>
        </w:rPr>
      </w:pPr>
      <w:r w:rsidRPr="0097710D">
        <w:rPr>
          <w:b/>
          <w:color w:val="000000"/>
        </w:rPr>
        <w:t>8-25</w:t>
      </w:r>
      <w:r w:rsidR="00A04F17" w:rsidRPr="0097710D">
        <w:rPr>
          <w:b/>
          <w:color w:val="000000"/>
        </w:rPr>
        <w:t xml:space="preserve"> </w:t>
      </w:r>
      <w:r w:rsidR="00F51002" w:rsidRPr="0097710D">
        <w:rPr>
          <w:b/>
          <w:color w:val="000000"/>
        </w:rPr>
        <w:t>settembre 2022</w:t>
      </w:r>
    </w:p>
    <w:p w:rsidR="0097710D" w:rsidRDefault="0097710D" w:rsidP="0097710D">
      <w:pPr>
        <w:pBdr>
          <w:top w:val="nil"/>
          <w:left w:val="nil"/>
          <w:bottom w:val="nil"/>
          <w:right w:val="nil"/>
          <w:between w:val="nil"/>
        </w:pBdr>
        <w:jc w:val="center"/>
        <w:rPr>
          <w:b/>
          <w:color w:val="000000"/>
        </w:rPr>
      </w:pPr>
      <w:r>
        <w:rPr>
          <w:b/>
          <w:color w:val="000000"/>
        </w:rPr>
        <w:t>tutti i giorni 9.30-12.30 e 14.30-21.00</w:t>
      </w:r>
    </w:p>
    <w:p w:rsidR="00C917D0" w:rsidRDefault="00C917D0">
      <w:pPr>
        <w:jc w:val="both"/>
        <w:rPr>
          <w:b/>
          <w:sz w:val="28"/>
          <w:szCs w:val="28"/>
        </w:rPr>
      </w:pPr>
    </w:p>
    <w:p w:rsidR="00C917D0" w:rsidRDefault="00F51002">
      <w:pPr>
        <w:pBdr>
          <w:top w:val="nil"/>
          <w:left w:val="nil"/>
          <w:bottom w:val="nil"/>
          <w:right w:val="nil"/>
          <w:between w:val="nil"/>
        </w:pBdr>
        <w:jc w:val="both"/>
        <w:rPr>
          <w:color w:val="000000"/>
        </w:rPr>
      </w:pPr>
      <w:r>
        <w:rPr>
          <w:color w:val="000000"/>
        </w:rPr>
        <w:t xml:space="preserve">Tornano a collaborare il </w:t>
      </w:r>
      <w:r>
        <w:rPr>
          <w:b/>
          <w:color w:val="000000"/>
        </w:rPr>
        <w:t xml:space="preserve">Liceo Artistico della Scuola d’Arte Andrea </w:t>
      </w:r>
      <w:proofErr w:type="spellStart"/>
      <w:r>
        <w:rPr>
          <w:b/>
          <w:color w:val="000000"/>
        </w:rPr>
        <w:t>Fantoni</w:t>
      </w:r>
      <w:proofErr w:type="spellEnd"/>
      <w:r>
        <w:rPr>
          <w:b/>
          <w:color w:val="000000"/>
        </w:rPr>
        <w:t xml:space="preserve"> e </w:t>
      </w:r>
      <w:proofErr w:type="spellStart"/>
      <w:r>
        <w:rPr>
          <w:b/>
          <w:color w:val="000000"/>
        </w:rPr>
        <w:t>Landscape</w:t>
      </w:r>
      <w:proofErr w:type="spellEnd"/>
      <w:r>
        <w:rPr>
          <w:b/>
          <w:color w:val="000000"/>
        </w:rPr>
        <w:t xml:space="preserve"> Festival</w:t>
      </w:r>
      <w:r>
        <w:rPr>
          <w:color w:val="000000"/>
        </w:rPr>
        <w:t xml:space="preserve"> - </w:t>
      </w:r>
      <w:r>
        <w:rPr>
          <w:b/>
          <w:color w:val="000000"/>
        </w:rPr>
        <w:t>I Maestri del Paesaggio</w:t>
      </w:r>
      <w:r>
        <w:rPr>
          <w:color w:val="000000"/>
        </w:rPr>
        <w:t xml:space="preserve">, la prestigiosa manifestazione culturale promossa da </w:t>
      </w:r>
      <w:proofErr w:type="spellStart"/>
      <w:r>
        <w:rPr>
          <w:color w:val="000000"/>
        </w:rPr>
        <w:t>Arketipos</w:t>
      </w:r>
      <w:proofErr w:type="spellEnd"/>
      <w:r>
        <w:rPr>
          <w:color w:val="000000"/>
        </w:rPr>
        <w:t>, che a Bergamo ha ormai trovato casa da tanti anni.</w:t>
      </w:r>
    </w:p>
    <w:p w:rsidR="00C917D0" w:rsidRDefault="00F51002">
      <w:pPr>
        <w:pBdr>
          <w:top w:val="nil"/>
          <w:left w:val="nil"/>
          <w:bottom w:val="nil"/>
          <w:right w:val="nil"/>
          <w:between w:val="nil"/>
        </w:pBdr>
        <w:jc w:val="both"/>
        <w:rPr>
          <w:b/>
        </w:rPr>
      </w:pPr>
      <w:r>
        <w:rPr>
          <w:color w:val="000000"/>
        </w:rPr>
        <w:t xml:space="preserve">Questa volta in occasione della </w:t>
      </w:r>
      <w:r>
        <w:rPr>
          <w:b/>
          <w:color w:val="000000"/>
        </w:rPr>
        <w:t xml:space="preserve">mostra </w:t>
      </w:r>
      <w:proofErr w:type="spellStart"/>
      <w:r>
        <w:rPr>
          <w:b/>
          <w:i/>
          <w:color w:val="000000"/>
        </w:rPr>
        <w:t>We</w:t>
      </w:r>
      <w:proofErr w:type="spellEnd"/>
      <w:r>
        <w:rPr>
          <w:b/>
          <w:i/>
          <w:color w:val="000000"/>
        </w:rPr>
        <w:t xml:space="preserve"> are </w:t>
      </w:r>
      <w:proofErr w:type="spellStart"/>
      <w:r>
        <w:rPr>
          <w:b/>
          <w:i/>
          <w:color w:val="000000"/>
        </w:rPr>
        <w:t>landscape</w:t>
      </w:r>
      <w:proofErr w:type="spellEnd"/>
      <w:r>
        <w:rPr>
          <w:color w:val="000000"/>
        </w:rPr>
        <w:t xml:space="preserve"> a cura degli studenti di 4° Liceo indirizzo Architettura-Ambiente e Audiovisivo Multimediale, su </w:t>
      </w:r>
      <w:proofErr w:type="spellStart"/>
      <w:r>
        <w:rPr>
          <w:b/>
          <w:color w:val="000000"/>
        </w:rPr>
        <w:t>Cassian</w:t>
      </w:r>
      <w:proofErr w:type="spellEnd"/>
      <w:r>
        <w:rPr>
          <w:b/>
          <w:color w:val="000000"/>
        </w:rPr>
        <w:t xml:space="preserve"> Schmidt</w:t>
      </w:r>
      <w:r w:rsidR="00DE6403">
        <w:rPr>
          <w:b/>
        </w:rPr>
        <w:t xml:space="preserve"> e </w:t>
      </w:r>
      <w:r w:rsidR="00DE6403">
        <w:rPr>
          <w:highlight w:val="white"/>
        </w:rPr>
        <w:t xml:space="preserve">l’Università tedesca di </w:t>
      </w:r>
      <w:proofErr w:type="spellStart"/>
      <w:r w:rsidR="00DE6403">
        <w:rPr>
          <w:highlight w:val="white"/>
        </w:rPr>
        <w:t>Weihenstephan-Triesdorf</w:t>
      </w:r>
      <w:proofErr w:type="spellEnd"/>
      <w:r w:rsidR="00DE6403">
        <w:t>.</w:t>
      </w:r>
    </w:p>
    <w:p w:rsidR="00C917D0" w:rsidRDefault="00F51002">
      <w:pPr>
        <w:pBdr>
          <w:top w:val="nil"/>
          <w:left w:val="nil"/>
          <w:bottom w:val="nil"/>
          <w:right w:val="nil"/>
          <w:between w:val="nil"/>
        </w:pBdr>
        <w:jc w:val="both"/>
        <w:rPr>
          <w:color w:val="000000"/>
        </w:rPr>
      </w:pPr>
      <w:r>
        <w:rPr>
          <w:color w:val="000000"/>
        </w:rPr>
        <w:t>Sede dell</w:t>
      </w:r>
      <w:r>
        <w:t>’esposizione</w:t>
      </w:r>
      <w:r>
        <w:rPr>
          <w:b/>
          <w:color w:val="000000"/>
        </w:rPr>
        <w:t xml:space="preserve"> l’Ex Ateneo in Città Alta</w:t>
      </w:r>
      <w:r w:rsidR="009E1E46">
        <w:rPr>
          <w:color w:val="000000"/>
        </w:rPr>
        <w:t xml:space="preserve"> dall’8 al 25 settembre (tutti i giorni 9.30-12.30; 14.30-21.00 ingresso gratuito)</w:t>
      </w:r>
    </w:p>
    <w:p w:rsidR="00C917D0" w:rsidRDefault="00F51002">
      <w:pPr>
        <w:pBdr>
          <w:top w:val="nil"/>
          <w:left w:val="nil"/>
          <w:bottom w:val="nil"/>
          <w:right w:val="nil"/>
          <w:between w:val="nil"/>
        </w:pBdr>
        <w:jc w:val="both"/>
        <w:rPr>
          <w:color w:val="000000"/>
        </w:rPr>
      </w:pPr>
      <w:r>
        <w:rPr>
          <w:color w:val="000000"/>
        </w:rPr>
        <w:t xml:space="preserve">Coinvolti nella mostra in onore del celebre architetto del paesaggio, gli studenti </w:t>
      </w:r>
      <w:r w:rsidR="00A04F17">
        <w:t>del Liceo A</w:t>
      </w:r>
      <w:r>
        <w:t xml:space="preserve">rtistico Andrea </w:t>
      </w:r>
      <w:proofErr w:type="spellStart"/>
      <w:r>
        <w:t>Fantoni</w:t>
      </w:r>
      <w:proofErr w:type="spellEnd"/>
      <w:r>
        <w:t xml:space="preserve"> di Bergamo </w:t>
      </w:r>
      <w:r>
        <w:rPr>
          <w:color w:val="000000"/>
        </w:rPr>
        <w:t xml:space="preserve">sono stati </w:t>
      </w:r>
      <w:r w:rsidRPr="009E1E46">
        <w:rPr>
          <w:b/>
          <w:color w:val="000000"/>
        </w:rPr>
        <w:t>affiancati anche dall’artista</w:t>
      </w:r>
      <w:r>
        <w:rPr>
          <w:color w:val="000000"/>
        </w:rPr>
        <w:t xml:space="preserve"> </w:t>
      </w:r>
      <w:r w:rsidRPr="009E1E46">
        <w:rPr>
          <w:b/>
          <w:color w:val="000000"/>
        </w:rPr>
        <w:t>Salvatore Falci</w:t>
      </w:r>
      <w:r>
        <w:rPr>
          <w:color w:val="000000"/>
        </w:rPr>
        <w:t xml:space="preserve"> per l’elaborazione del progetto.</w:t>
      </w:r>
    </w:p>
    <w:p w:rsidR="00C917D0" w:rsidRDefault="00C917D0">
      <w:pPr>
        <w:pBdr>
          <w:top w:val="nil"/>
          <w:left w:val="nil"/>
          <w:bottom w:val="nil"/>
          <w:right w:val="nil"/>
          <w:between w:val="nil"/>
        </w:pBdr>
        <w:jc w:val="both"/>
        <w:rPr>
          <w:color w:val="000000"/>
        </w:rPr>
      </w:pPr>
    </w:p>
    <w:p w:rsidR="00C917D0" w:rsidRDefault="00F51002">
      <w:pPr>
        <w:pBdr>
          <w:top w:val="nil"/>
          <w:left w:val="nil"/>
          <w:bottom w:val="nil"/>
          <w:right w:val="nil"/>
          <w:between w:val="nil"/>
        </w:pBdr>
        <w:jc w:val="both"/>
        <w:rPr>
          <w:b/>
          <w:color w:val="000000"/>
        </w:rPr>
      </w:pPr>
      <w:r>
        <w:rPr>
          <w:b/>
          <w:color w:val="000000"/>
        </w:rPr>
        <w:t xml:space="preserve">Schmidt e i ragazzi del Liceo Artistico della Scuola d’Arte A. </w:t>
      </w:r>
      <w:proofErr w:type="spellStart"/>
      <w:r>
        <w:rPr>
          <w:b/>
          <w:color w:val="000000"/>
        </w:rPr>
        <w:t>Fantoni</w:t>
      </w:r>
      <w:proofErr w:type="spellEnd"/>
    </w:p>
    <w:p w:rsidR="00C917D0" w:rsidRDefault="00F51002">
      <w:pPr>
        <w:jc w:val="both"/>
      </w:pPr>
      <w:r>
        <w:t xml:space="preserve">Se </w:t>
      </w:r>
      <w:proofErr w:type="spellStart"/>
      <w:proofErr w:type="gramStart"/>
      <w:r>
        <w:rPr>
          <w:i/>
        </w:rPr>
        <w:t>Forgotten</w:t>
      </w:r>
      <w:proofErr w:type="spellEnd"/>
      <w:r>
        <w:rPr>
          <w:i/>
        </w:rPr>
        <w:t xml:space="preserve">  </w:t>
      </w:r>
      <w:proofErr w:type="spellStart"/>
      <w:r>
        <w:rPr>
          <w:i/>
        </w:rPr>
        <w:t>Landscape</w:t>
      </w:r>
      <w:proofErr w:type="spellEnd"/>
      <w:proofErr w:type="gramEnd"/>
      <w:r>
        <w:t xml:space="preserve"> è il tema di questa edizione del Festival 2022, ecco che lo studio del Genius Loci e la riscoperta delle radici attraverso il territorio, sono il centro della ricerca svolta dagli studenti sotto la guida di Salvatore Falci.</w:t>
      </w:r>
    </w:p>
    <w:p w:rsidR="00C917D0" w:rsidRDefault="00F51002">
      <w:pPr>
        <w:jc w:val="both"/>
      </w:pPr>
      <w:r>
        <w:t>Il titolo scelto vuole sottolineare la responsabilità di essere parte del paesaggio e, attraverso le nostre radici, di farne elemento del nostro essere. L'installazione è frutto di una riflessione sull'indispensabile ruolo da protagonista che ciascuno di noi ha nel determinare l'aspetto del territorio e le sue caratteristiche, con la propria storia, esperienza, origine.</w:t>
      </w:r>
    </w:p>
    <w:p w:rsidR="00C917D0" w:rsidRDefault="00F51002">
      <w:pPr>
        <w:pBdr>
          <w:top w:val="nil"/>
          <w:left w:val="nil"/>
          <w:bottom w:val="nil"/>
          <w:right w:val="nil"/>
          <w:between w:val="nil"/>
        </w:pBdr>
        <w:jc w:val="both"/>
        <w:rPr>
          <w:color w:val="000000"/>
        </w:rPr>
      </w:pPr>
      <w:r>
        <w:rPr>
          <w:color w:val="000000"/>
        </w:rPr>
        <w:t>L’intero percorso invita i giovani artisti a condividere stimoli personali su un tema profondo come quello ambientale e paesaggistico che diventano codice condiviso nel gruppo di lavoro e condivisibile con i visitatori, tanto da ricordarci quanto la nostra identità sia inscindibile dai luoghi</w:t>
      </w:r>
      <w:r w:rsidR="00794045">
        <w:rPr>
          <w:color w:val="000000"/>
        </w:rPr>
        <w:t xml:space="preserve"> che ci hanno formato e segnato: «</w:t>
      </w:r>
      <w:r w:rsidR="00B139AD">
        <w:rPr>
          <w:color w:val="000000"/>
        </w:rPr>
        <w:t xml:space="preserve">L’arte contemporanea – spiega Salvatore </w:t>
      </w:r>
      <w:proofErr w:type="gramStart"/>
      <w:r w:rsidR="00B139AD">
        <w:rPr>
          <w:color w:val="000000"/>
        </w:rPr>
        <w:t>Falci  necessita</w:t>
      </w:r>
      <w:proofErr w:type="gramEnd"/>
      <w:r w:rsidR="00B139AD">
        <w:rPr>
          <w:color w:val="000000"/>
        </w:rPr>
        <w:t xml:space="preserve"> di essere esperita, così come la natura è da vivere nella coscienza del farvi parte, così come la vita. La mostra invita a riflettere su questo legame, se non lo faremo allora falliremo. È un messaggio forte quello portato da </w:t>
      </w:r>
      <w:r w:rsidR="00B139AD">
        <w:rPr>
          <w:color w:val="000000"/>
        </w:rPr>
        <w:lastRenderedPageBreak/>
        <w:t>questi giovani artisti, che va completato dalla capacità di ascolto del visitatore. L’impegno spetta sia all’artista che al riguardante l’opera».</w:t>
      </w:r>
    </w:p>
    <w:p w:rsidR="00C917D0" w:rsidRDefault="00F51002">
      <w:pPr>
        <w:jc w:val="both"/>
      </w:pPr>
      <w:r>
        <w:rPr>
          <w:highlight w:val="white"/>
        </w:rPr>
        <w:t xml:space="preserve">Il progetto che coinvolge gli studenti del Liceo </w:t>
      </w:r>
      <w:proofErr w:type="spellStart"/>
      <w:r>
        <w:rPr>
          <w:highlight w:val="white"/>
        </w:rPr>
        <w:t>Fantoni</w:t>
      </w:r>
      <w:proofErr w:type="spellEnd"/>
      <w:r>
        <w:rPr>
          <w:highlight w:val="white"/>
        </w:rPr>
        <w:t xml:space="preserve">, si allarga ad una collaborazione di spessore europeo perché </w:t>
      </w:r>
      <w:proofErr w:type="spellStart"/>
      <w:r>
        <w:rPr>
          <w:highlight w:val="white"/>
        </w:rPr>
        <w:t>Cassian</w:t>
      </w:r>
      <w:proofErr w:type="spellEnd"/>
      <w:r>
        <w:rPr>
          <w:highlight w:val="white"/>
        </w:rPr>
        <w:t xml:space="preserve"> Schmidt ha lavorato anche con gli studenti dell’Università tedesca di </w:t>
      </w:r>
      <w:proofErr w:type="spellStart"/>
      <w:r>
        <w:rPr>
          <w:highlight w:val="white"/>
        </w:rPr>
        <w:t>Weihenstephan-Triesdorf</w:t>
      </w:r>
      <w:proofErr w:type="spellEnd"/>
      <w:r>
        <w:rPr>
          <w:highlight w:val="white"/>
        </w:rPr>
        <w:t>, per la progettazione e la realizzazione dell’allestimento di Piazza Vecchia durante la manifestazione a settembre.</w:t>
      </w:r>
    </w:p>
    <w:p w:rsidR="00794045" w:rsidRDefault="009E1E46" w:rsidP="009E1E46">
      <w:pPr>
        <w:jc w:val="both"/>
      </w:pPr>
      <w:r>
        <w:t xml:space="preserve">«Uno degli obiettivi del progetto 2022 – spiega la professoressa Alessandra Burini referente PCTO del Liceo </w:t>
      </w:r>
      <w:proofErr w:type="spellStart"/>
      <w:r>
        <w:t>Fantoni</w:t>
      </w:r>
      <w:proofErr w:type="spellEnd"/>
      <w:r>
        <w:t xml:space="preserve"> – era quello di creare </w:t>
      </w:r>
      <w:r w:rsidR="00DE6403">
        <w:t>un ponte</w:t>
      </w:r>
      <w:r>
        <w:t xml:space="preserve"> nel lavoro tra gli studenti dell’Università tedesca e del nostro Liceo</w:t>
      </w:r>
      <w:r w:rsidR="00DE6403">
        <w:t>,</w:t>
      </w:r>
      <w:r>
        <w:t xml:space="preserve"> attraverso attività di indagine utile a sviluppare il tema del paesaggio dimenticato»</w:t>
      </w:r>
      <w:r w:rsidR="00794045">
        <w:t>.</w:t>
      </w:r>
    </w:p>
    <w:p w:rsidR="00C917D0" w:rsidRDefault="00C917D0">
      <w:pPr>
        <w:jc w:val="both"/>
      </w:pPr>
    </w:p>
    <w:p w:rsidR="00C917D0" w:rsidRDefault="00F51002">
      <w:pPr>
        <w:jc w:val="both"/>
        <w:rPr>
          <w:b/>
        </w:rPr>
      </w:pPr>
      <w:r>
        <w:rPr>
          <w:b/>
        </w:rPr>
        <w:t>La mostra</w:t>
      </w:r>
    </w:p>
    <w:p w:rsidR="00C917D0" w:rsidRDefault="00F51002">
      <w:pPr>
        <w:jc w:val="both"/>
      </w:pPr>
      <w:r>
        <w:t xml:space="preserve">L’ambiente dell’ex Ateneo </w:t>
      </w:r>
      <w:r w:rsidR="009E1E46">
        <w:t>è</w:t>
      </w:r>
      <w:r>
        <w:t xml:space="preserve"> allestito attraverso elementi complessi nati </w:t>
      </w:r>
      <w:r>
        <w:rPr>
          <w:b/>
        </w:rPr>
        <w:t>dall’idea del modulo</w:t>
      </w:r>
      <w:r>
        <w:t>, struttura semplice che diviene immediatamente complessa nella sua ripetizione.</w:t>
      </w:r>
    </w:p>
    <w:p w:rsidR="00794045" w:rsidRDefault="00794045">
      <w:pPr>
        <w:jc w:val="both"/>
      </w:pPr>
      <w:r>
        <w:t xml:space="preserve">«L’anno passato – spiega </w:t>
      </w:r>
      <w:r w:rsidRPr="00794045">
        <w:rPr>
          <w:b/>
        </w:rPr>
        <w:t>Salvatore Falci</w:t>
      </w:r>
      <w:r>
        <w:t xml:space="preserve"> – gli studenti avevano lavorato attorno a quattro idee. Questa volta invece ciascuno di loro è partito dai propri vissuti, ha ascoltato il proprio Genius Loci, ha sviluppato l’idea del proprio io in un noi che diventa Natura. Conoscersi è dunque la parola chiave, dal proprio fiume interiore cisi collega al ponte e allora il lavoro personale diventa parte di una collettiva».</w:t>
      </w:r>
    </w:p>
    <w:p w:rsidR="00C917D0" w:rsidRDefault="00F51002">
      <w:pPr>
        <w:jc w:val="both"/>
      </w:pPr>
      <w:r>
        <w:t>Più moduli diventano quindi un ponte visibile a chi entra nello spazio della mostra. Il ponte rappresenta la possibilità di essere attraversato e di incontrare l’altro e, inoltre, cambia il punto di vista dello spettatore nel momento in cui lo si attraversa.</w:t>
      </w:r>
    </w:p>
    <w:p w:rsidR="00C917D0" w:rsidRDefault="00F51002">
      <w:pPr>
        <w:jc w:val="both"/>
      </w:pPr>
      <w:r>
        <w:t>Dal ponte si può osservare il paesaggio, costituito dagli allievi che attraverso la creazione di piccoli luoghi intimi intessono relazioni.</w:t>
      </w:r>
    </w:p>
    <w:p w:rsidR="009E1E46" w:rsidRDefault="009E1E46">
      <w:pPr>
        <w:jc w:val="both"/>
      </w:pPr>
      <w:bookmarkStart w:id="0" w:name="_gjdgxs" w:colFirst="0" w:colLast="0"/>
      <w:bookmarkEnd w:id="0"/>
      <w:r>
        <w:t xml:space="preserve">«Il ponte – continua Burini – è l’elemento chiave con il quale si rapportano tutte le opere: ad esempio </w:t>
      </w:r>
      <w:r w:rsidR="00B02F10" w:rsidRPr="00B02F10">
        <w:rPr>
          <w:i/>
        </w:rPr>
        <w:t>Nel fiume secco</w:t>
      </w:r>
      <w:r w:rsidR="00B02F10">
        <w:t xml:space="preserve"> di Giorgia Baccalà il focus è il fiume Po che attraverso la secca estiva ha riportato alla luce memorie del passato da un carro armato ad uno scheletro. L’artista sottolinea dunque come si debba conoscere il passato per guardare il futuro».</w:t>
      </w:r>
    </w:p>
    <w:p w:rsidR="00B02F10" w:rsidRDefault="00B02F10" w:rsidP="00B02F10">
      <w:pPr>
        <w:jc w:val="both"/>
      </w:pPr>
      <w:r>
        <w:t>La relazione con chi entra, stimola in una dimensione olistica, ad interagire con una diversa idea di spazio e tempo attraverso spunti sonori, visivi, emotivi. Scritte evocano la poetica del designer.</w:t>
      </w:r>
    </w:p>
    <w:p w:rsidR="00B02F10" w:rsidRDefault="00B02F10">
      <w:pPr>
        <w:jc w:val="both"/>
      </w:pPr>
      <w:r w:rsidRPr="00B02F10">
        <w:rPr>
          <w:i/>
        </w:rPr>
        <w:t>Scacchiera delle piante</w:t>
      </w:r>
      <w:r>
        <w:t xml:space="preserve"> di Martina Manini vede come pedina dei vasi con semi, ad un certo punto dell’esposizione le pedine verranno improvvisamente abbattute: la partita finirà ma i semi, e dunque la vita, troveranno la terra per crescere :«L’opera ci suggerisce come anche un imprevisto possa essere occasione di ricostruzione, di stimolo per cambiare. Tutte le opere si collegano al senso della mostra: Noi siamo paesaggio, abbiamo l’obbligo di ricordarci che siamo Natura»</w:t>
      </w:r>
      <w:r w:rsidR="00B139AD">
        <w:t>.</w:t>
      </w:r>
    </w:p>
    <w:p w:rsidR="00B139AD" w:rsidRPr="00B02F10" w:rsidRDefault="00B139AD">
      <w:pPr>
        <w:jc w:val="both"/>
      </w:pPr>
      <w:r>
        <w:t>«I giovani artisti – chiude Falci – vanno ascoltati, “innaffiati” come le piante e gli elementi naturali, a noi adulti spetta solo il compito di aiutarli a incanalare la loro energia vitale. Dobbiamo valorizzare il loro Io in un contesto del Noi, un nuovo Noi che può solo essere collegato al sistema naturale».</w:t>
      </w:r>
    </w:p>
    <w:p w:rsidR="00C917D0" w:rsidRDefault="00C917D0">
      <w:pPr>
        <w:pBdr>
          <w:top w:val="nil"/>
          <w:left w:val="nil"/>
          <w:bottom w:val="nil"/>
          <w:right w:val="nil"/>
          <w:between w:val="nil"/>
        </w:pBdr>
        <w:jc w:val="both"/>
        <w:rPr>
          <w:color w:val="000000"/>
        </w:rPr>
      </w:pPr>
    </w:p>
    <w:p w:rsidR="00C917D0" w:rsidRDefault="00F51002">
      <w:pPr>
        <w:pBdr>
          <w:top w:val="nil"/>
          <w:left w:val="nil"/>
          <w:bottom w:val="nil"/>
          <w:right w:val="nil"/>
          <w:between w:val="nil"/>
        </w:pBdr>
        <w:jc w:val="both"/>
        <w:rPr>
          <w:b/>
          <w:color w:val="000000"/>
        </w:rPr>
      </w:pPr>
      <w:r>
        <w:rPr>
          <w:b/>
          <w:color w:val="000000"/>
        </w:rPr>
        <w:t>Team e PCTO a scuola</w:t>
      </w:r>
    </w:p>
    <w:p w:rsidR="00C917D0" w:rsidRDefault="00F51002">
      <w:pPr>
        <w:pBdr>
          <w:top w:val="nil"/>
          <w:left w:val="nil"/>
          <w:bottom w:val="nil"/>
          <w:right w:val="nil"/>
          <w:between w:val="nil"/>
        </w:pBdr>
        <w:jc w:val="both"/>
        <w:rPr>
          <w:color w:val="000000"/>
        </w:rPr>
      </w:pPr>
      <w:r>
        <w:rPr>
          <w:color w:val="000000"/>
        </w:rPr>
        <w:lastRenderedPageBreak/>
        <w:t>L’articolato progetto di PCTO (Percorso per le competenze trasversali e l’orientamento) vede impegnati i ragazzi in un lavoro lungo e complesso, fino a settembre.</w:t>
      </w:r>
    </w:p>
    <w:p w:rsidR="00C917D0" w:rsidRDefault="00F51002">
      <w:pPr>
        <w:pBdr>
          <w:top w:val="nil"/>
          <w:left w:val="nil"/>
          <w:bottom w:val="nil"/>
          <w:right w:val="nil"/>
          <w:between w:val="nil"/>
        </w:pBdr>
        <w:jc w:val="both"/>
        <w:rPr>
          <w:color w:val="000000"/>
        </w:rPr>
      </w:pPr>
      <w:r>
        <w:rPr>
          <w:color w:val="000000"/>
        </w:rPr>
        <w:t>Alla guida del progetto l’artista Salvatore Falci</w:t>
      </w:r>
      <w:r>
        <w:t xml:space="preserve"> </w:t>
      </w:r>
      <w:r>
        <w:rPr>
          <w:color w:val="000000"/>
        </w:rPr>
        <w:t>con il supporto dei docenti, Alessandra Burini (referente PCTO) e Diana Conte (referente PCTO), Barbara Ventura (indirizzo Architettura</w:t>
      </w:r>
      <w:r w:rsidR="00F76774">
        <w:rPr>
          <w:color w:val="000000"/>
        </w:rPr>
        <w:t xml:space="preserve"> e Ambiente), Alessandro Villa, </w:t>
      </w:r>
      <w:r>
        <w:rPr>
          <w:color w:val="000000"/>
        </w:rPr>
        <w:t>Tea Adami (Audiovisivo e Multimediale)</w:t>
      </w:r>
      <w:r w:rsidR="00F76774">
        <w:rPr>
          <w:color w:val="000000"/>
        </w:rPr>
        <w:t>.</w:t>
      </w:r>
    </w:p>
    <w:p w:rsidR="00F76774" w:rsidRDefault="00F76774" w:rsidP="00F76774">
      <w:pPr>
        <w:pBdr>
          <w:top w:val="nil"/>
          <w:left w:val="nil"/>
          <w:bottom w:val="nil"/>
          <w:right w:val="nil"/>
          <w:between w:val="nil"/>
        </w:pBdr>
        <w:jc w:val="both"/>
      </w:pPr>
      <w:r>
        <w:t>I ragazzi:</w:t>
      </w:r>
    </w:p>
    <w:p w:rsidR="00F76774" w:rsidRDefault="00F76774" w:rsidP="00F76774">
      <w:pPr>
        <w:pBdr>
          <w:top w:val="nil"/>
          <w:left w:val="nil"/>
          <w:bottom w:val="nil"/>
          <w:right w:val="nil"/>
          <w:between w:val="nil"/>
        </w:pBdr>
        <w:jc w:val="both"/>
      </w:pPr>
      <w:r>
        <w:t xml:space="preserve">Giorgia Baccalà, Riccardo </w:t>
      </w:r>
      <w:proofErr w:type="spellStart"/>
      <w:r>
        <w:t>Bamberga</w:t>
      </w:r>
      <w:proofErr w:type="spellEnd"/>
      <w:r>
        <w:t xml:space="preserve">, Manuel </w:t>
      </w:r>
      <w:proofErr w:type="spellStart"/>
      <w:r>
        <w:t>Davì</w:t>
      </w:r>
      <w:proofErr w:type="spellEnd"/>
      <w:r>
        <w:t xml:space="preserve">, Thomas Forlani, Martina Manini, Andrea </w:t>
      </w:r>
      <w:proofErr w:type="spellStart"/>
      <w:r>
        <w:t>Moscheni</w:t>
      </w:r>
      <w:proofErr w:type="spellEnd"/>
      <w:r>
        <w:t>, Antonio Vassallo.</w:t>
      </w:r>
    </w:p>
    <w:p w:rsidR="00F76774" w:rsidRDefault="00F76774">
      <w:pPr>
        <w:pBdr>
          <w:top w:val="nil"/>
          <w:left w:val="nil"/>
          <w:bottom w:val="nil"/>
          <w:right w:val="nil"/>
          <w:between w:val="nil"/>
        </w:pBdr>
        <w:jc w:val="both"/>
        <w:rPr>
          <w:color w:val="000000"/>
        </w:rPr>
      </w:pPr>
      <w:r>
        <w:rPr>
          <w:color w:val="000000"/>
        </w:rPr>
        <w:t xml:space="preserve">Collaborazione con Officina della Comunicazione: Luca </w:t>
      </w:r>
      <w:proofErr w:type="spellStart"/>
      <w:r>
        <w:rPr>
          <w:color w:val="000000"/>
        </w:rPr>
        <w:t>Salmaso</w:t>
      </w:r>
      <w:proofErr w:type="spellEnd"/>
      <w:r>
        <w:rPr>
          <w:color w:val="000000"/>
        </w:rPr>
        <w:t>.</w:t>
      </w:r>
    </w:p>
    <w:p w:rsidR="00F76774" w:rsidRDefault="00F76774">
      <w:pPr>
        <w:pBdr>
          <w:top w:val="nil"/>
          <w:left w:val="nil"/>
          <w:bottom w:val="nil"/>
          <w:right w:val="nil"/>
          <w:between w:val="nil"/>
        </w:pBdr>
        <w:jc w:val="both"/>
        <w:rPr>
          <w:color w:val="000000"/>
        </w:rPr>
      </w:pPr>
      <w:r>
        <w:rPr>
          <w:color w:val="000000"/>
        </w:rPr>
        <w:t>Testi in Italiano e inglese: Emanuela Burini, supervisione testi in inglese Richard Allwright.</w:t>
      </w:r>
      <w:bookmarkStart w:id="1" w:name="_GoBack"/>
      <w:bookmarkEnd w:id="1"/>
    </w:p>
    <w:p w:rsidR="00C917D0" w:rsidRDefault="00C917D0">
      <w:pPr>
        <w:pBdr>
          <w:top w:val="nil"/>
          <w:left w:val="nil"/>
          <w:bottom w:val="nil"/>
          <w:right w:val="nil"/>
          <w:between w:val="nil"/>
        </w:pBdr>
        <w:jc w:val="both"/>
      </w:pPr>
    </w:p>
    <w:p w:rsidR="00C917D0" w:rsidRDefault="00C917D0">
      <w:pPr>
        <w:jc w:val="both"/>
      </w:pPr>
    </w:p>
    <w:p w:rsidR="00C917D0" w:rsidRDefault="00F51002">
      <w:pPr>
        <w:jc w:val="both"/>
      </w:pPr>
      <w:r>
        <w:t xml:space="preserve">Clelia </w:t>
      </w:r>
      <w:proofErr w:type="spellStart"/>
      <w:r>
        <w:t>Epis</w:t>
      </w:r>
      <w:proofErr w:type="spellEnd"/>
      <w:r>
        <w:t xml:space="preserve"> - ufficio </w:t>
      </w:r>
      <w:proofErr w:type="gramStart"/>
      <w:r>
        <w:t>stampa  3389899570</w:t>
      </w:r>
      <w:proofErr w:type="gramEnd"/>
      <w:r>
        <w:t xml:space="preserve">    cleepis@gmail.com    clelia.epis@cfpscuolafantoni.org</w:t>
      </w:r>
    </w:p>
    <w:sectPr w:rsidR="00C917D0">
      <w:headerReference w:type="default" r:id="rId6"/>
      <w:footerReference w:type="default" r:id="rId7"/>
      <w:pgSz w:w="11906" w:h="16838"/>
      <w:pgMar w:top="1701"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A9F" w:rsidRDefault="008D6A9F">
      <w:r>
        <w:separator/>
      </w:r>
    </w:p>
  </w:endnote>
  <w:endnote w:type="continuationSeparator" w:id="0">
    <w:p w:rsidR="008D6A9F" w:rsidRDefault="008D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B Garamon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D0" w:rsidRDefault="00C917D0">
    <w:pPr>
      <w:widowControl w:val="0"/>
      <w:pBdr>
        <w:top w:val="nil"/>
        <w:left w:val="nil"/>
        <w:bottom w:val="nil"/>
        <w:right w:val="nil"/>
        <w:between w:val="nil"/>
      </w:pBdr>
      <w:spacing w:line="276" w:lineRule="auto"/>
      <w:rPr>
        <w:color w:val="000000"/>
      </w:rPr>
    </w:pPr>
  </w:p>
  <w:tbl>
    <w:tblPr>
      <w:tblStyle w:val="a0"/>
      <w:tblW w:w="10150" w:type="dxa"/>
      <w:tblInd w:w="0" w:type="dxa"/>
      <w:tblBorders>
        <w:top w:val="single" w:sz="12" w:space="0" w:color="008000"/>
        <w:left w:val="single" w:sz="12" w:space="0" w:color="008000"/>
        <w:bottom w:val="single" w:sz="12" w:space="0" w:color="008000"/>
        <w:right w:val="single" w:sz="12" w:space="0" w:color="008000"/>
        <w:insideV w:val="single" w:sz="12" w:space="0" w:color="008000"/>
      </w:tblBorders>
      <w:tblLayout w:type="fixed"/>
      <w:tblLook w:val="0000" w:firstRow="0" w:lastRow="0" w:firstColumn="0" w:lastColumn="0" w:noHBand="0" w:noVBand="0"/>
    </w:tblPr>
    <w:tblGrid>
      <w:gridCol w:w="1102"/>
      <w:gridCol w:w="9048"/>
    </w:tblGrid>
    <w:tr w:rsidR="00C917D0">
      <w:trPr>
        <w:cantSplit/>
        <w:trHeight w:val="837"/>
      </w:trPr>
      <w:tc>
        <w:tcPr>
          <w:tcW w:w="1102" w:type="dxa"/>
          <w:shd w:val="clear" w:color="auto" w:fill="FFFFFF"/>
          <w:vAlign w:val="center"/>
        </w:tcPr>
        <w:p w:rsidR="00C917D0" w:rsidRDefault="00F51002">
          <w:pPr>
            <w:jc w:val="center"/>
            <w:rPr>
              <w:rFonts w:ascii="Tahoma" w:eastAsia="Tahoma" w:hAnsi="Tahoma" w:cs="Tahoma"/>
              <w:sz w:val="22"/>
              <w:szCs w:val="22"/>
            </w:rPr>
          </w:pPr>
          <w:r>
            <w:rPr>
              <w:rFonts w:ascii="Tahoma" w:eastAsia="Tahoma" w:hAnsi="Tahoma" w:cs="Tahoma"/>
              <w:noProof/>
              <w:sz w:val="22"/>
              <w:szCs w:val="22"/>
            </w:rPr>
            <w:drawing>
              <wp:inline distT="0" distB="0" distL="0" distR="0">
                <wp:extent cx="591820" cy="516890"/>
                <wp:effectExtent l="0" t="0" r="0" b="0"/>
                <wp:docPr id="2" name="image2.jpg" descr="ISO_9001_2008_IT_BW"/>
                <wp:cNvGraphicFramePr/>
                <a:graphic xmlns:a="http://schemas.openxmlformats.org/drawingml/2006/main">
                  <a:graphicData uri="http://schemas.openxmlformats.org/drawingml/2006/picture">
                    <pic:pic xmlns:pic="http://schemas.openxmlformats.org/drawingml/2006/picture">
                      <pic:nvPicPr>
                        <pic:cNvPr id="0" name="image2.jpg" descr="ISO_9001_2008_IT_BW"/>
                        <pic:cNvPicPr preferRelativeResize="0"/>
                      </pic:nvPicPr>
                      <pic:blipFill>
                        <a:blip r:embed="rId1"/>
                        <a:srcRect/>
                        <a:stretch>
                          <a:fillRect/>
                        </a:stretch>
                      </pic:blipFill>
                      <pic:spPr>
                        <a:xfrm>
                          <a:off x="0" y="0"/>
                          <a:ext cx="591820" cy="516890"/>
                        </a:xfrm>
                        <a:prstGeom prst="rect">
                          <a:avLst/>
                        </a:prstGeom>
                        <a:ln/>
                      </pic:spPr>
                    </pic:pic>
                  </a:graphicData>
                </a:graphic>
              </wp:inline>
            </w:drawing>
          </w:r>
        </w:p>
      </w:tc>
      <w:tc>
        <w:tcPr>
          <w:tcW w:w="9048" w:type="dxa"/>
          <w:shd w:val="clear" w:color="auto" w:fill="008000"/>
        </w:tcPr>
        <w:p w:rsidR="00C917D0" w:rsidRDefault="00F51002">
          <w:pPr>
            <w:rPr>
              <w:rFonts w:ascii="EB Garamond" w:eastAsia="EB Garamond" w:hAnsi="EB Garamond" w:cs="EB Garamond"/>
              <w:b/>
              <w:color w:val="FFFFFF"/>
              <w:sz w:val="22"/>
              <w:szCs w:val="22"/>
            </w:rPr>
          </w:pPr>
          <w:r>
            <w:rPr>
              <w:rFonts w:ascii="EB Garamond" w:eastAsia="EB Garamond" w:hAnsi="EB Garamond" w:cs="EB Garamond"/>
              <w:b/>
              <w:color w:val="FFFFFF"/>
              <w:sz w:val="22"/>
              <w:szCs w:val="22"/>
            </w:rPr>
            <w:t xml:space="preserve">Scuola d’Arte applicata “Andrea </w:t>
          </w:r>
          <w:proofErr w:type="spellStart"/>
          <w:r>
            <w:rPr>
              <w:rFonts w:ascii="EB Garamond" w:eastAsia="EB Garamond" w:hAnsi="EB Garamond" w:cs="EB Garamond"/>
              <w:b/>
              <w:color w:val="FFFFFF"/>
              <w:sz w:val="22"/>
              <w:szCs w:val="22"/>
            </w:rPr>
            <w:t>Fantoni</w:t>
          </w:r>
          <w:proofErr w:type="spellEnd"/>
          <w:r>
            <w:rPr>
              <w:rFonts w:ascii="EB Garamond" w:eastAsia="EB Garamond" w:hAnsi="EB Garamond" w:cs="EB Garamond"/>
              <w:b/>
              <w:color w:val="FFFFFF"/>
              <w:sz w:val="22"/>
              <w:szCs w:val="22"/>
            </w:rPr>
            <w:t>” – Liceo Artistico e Centro di Formazione Professionale</w:t>
          </w:r>
        </w:p>
        <w:p w:rsidR="00C917D0" w:rsidRDefault="00F51002">
          <w:pPr>
            <w:rPr>
              <w:rFonts w:ascii="EB Garamond" w:eastAsia="EB Garamond" w:hAnsi="EB Garamond" w:cs="EB Garamond"/>
              <w:b/>
              <w:color w:val="FFFFFF"/>
              <w:sz w:val="22"/>
              <w:szCs w:val="22"/>
            </w:rPr>
          </w:pPr>
          <w:r>
            <w:rPr>
              <w:rFonts w:ascii="EB Garamond" w:eastAsia="EB Garamond" w:hAnsi="EB Garamond" w:cs="EB Garamond"/>
              <w:b/>
              <w:color w:val="FFFFFF"/>
              <w:sz w:val="22"/>
              <w:szCs w:val="22"/>
            </w:rPr>
            <w:t xml:space="preserve">Via Angelo </w:t>
          </w:r>
          <w:proofErr w:type="spellStart"/>
          <w:r>
            <w:rPr>
              <w:rFonts w:ascii="EB Garamond" w:eastAsia="EB Garamond" w:hAnsi="EB Garamond" w:cs="EB Garamond"/>
              <w:b/>
              <w:color w:val="FFFFFF"/>
              <w:sz w:val="22"/>
              <w:szCs w:val="22"/>
            </w:rPr>
            <w:t>Maj</w:t>
          </w:r>
          <w:proofErr w:type="spellEnd"/>
          <w:r>
            <w:rPr>
              <w:rFonts w:ascii="EB Garamond" w:eastAsia="EB Garamond" w:hAnsi="EB Garamond" w:cs="EB Garamond"/>
              <w:b/>
              <w:color w:val="FFFFFF"/>
              <w:sz w:val="22"/>
              <w:szCs w:val="22"/>
            </w:rPr>
            <w:t>, 35 – 24121 – Bergamo – tel. 035.247485 – fax 035.236527</w:t>
          </w:r>
        </w:p>
        <w:p w:rsidR="00C917D0" w:rsidRDefault="00F51002">
          <w:pPr>
            <w:rPr>
              <w:rFonts w:ascii="Tahoma" w:eastAsia="Tahoma" w:hAnsi="Tahoma" w:cs="Tahoma"/>
              <w:sz w:val="22"/>
              <w:szCs w:val="22"/>
            </w:rPr>
          </w:pPr>
          <w:r>
            <w:rPr>
              <w:rFonts w:ascii="EB Garamond" w:eastAsia="EB Garamond" w:hAnsi="EB Garamond" w:cs="EB Garamond"/>
              <w:b/>
              <w:color w:val="FFFFFF"/>
              <w:sz w:val="22"/>
              <w:szCs w:val="22"/>
            </w:rPr>
            <w:t>Sito Internet: www.scuolafantoni.it - E-mail: segreteria@scuolafantoni.it</w:t>
          </w:r>
        </w:p>
      </w:tc>
    </w:tr>
  </w:tbl>
  <w:p w:rsidR="00C917D0" w:rsidRDefault="00C917D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A9F" w:rsidRDefault="008D6A9F">
      <w:r>
        <w:separator/>
      </w:r>
    </w:p>
  </w:footnote>
  <w:footnote w:type="continuationSeparator" w:id="0">
    <w:p w:rsidR="008D6A9F" w:rsidRDefault="008D6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D0" w:rsidRDefault="00C917D0">
    <w:pPr>
      <w:widowControl w:val="0"/>
      <w:pBdr>
        <w:top w:val="nil"/>
        <w:left w:val="nil"/>
        <w:bottom w:val="nil"/>
        <w:right w:val="nil"/>
        <w:between w:val="nil"/>
      </w:pBdr>
      <w:spacing w:line="276" w:lineRule="auto"/>
    </w:pPr>
  </w:p>
  <w:tbl>
    <w:tblPr>
      <w:tblStyle w:val="a"/>
      <w:tblW w:w="10079" w:type="dxa"/>
      <w:tblInd w:w="-110" w:type="dxa"/>
      <w:tblLayout w:type="fixed"/>
      <w:tblLook w:val="0000" w:firstRow="0" w:lastRow="0" w:firstColumn="0" w:lastColumn="0" w:noHBand="0" w:noVBand="0"/>
    </w:tblPr>
    <w:tblGrid>
      <w:gridCol w:w="899"/>
      <w:gridCol w:w="2469"/>
      <w:gridCol w:w="154"/>
      <w:gridCol w:w="899"/>
      <w:gridCol w:w="1092"/>
      <w:gridCol w:w="1114"/>
      <w:gridCol w:w="719"/>
      <w:gridCol w:w="784"/>
      <w:gridCol w:w="1949"/>
    </w:tblGrid>
    <w:tr w:rsidR="00C917D0">
      <w:trPr>
        <w:cantSplit/>
      </w:trPr>
      <w:tc>
        <w:tcPr>
          <w:tcW w:w="10080" w:type="dxa"/>
          <w:gridSpan w:val="9"/>
          <w:shd w:val="clear" w:color="auto" w:fill="008000"/>
        </w:tcPr>
        <w:p w:rsidR="00C917D0" w:rsidRDefault="00C917D0">
          <w:pPr>
            <w:rPr>
              <w:rFonts w:ascii="Tahoma" w:eastAsia="Tahoma" w:hAnsi="Tahoma" w:cs="Tahoma"/>
              <w:sz w:val="22"/>
              <w:szCs w:val="22"/>
            </w:rPr>
          </w:pPr>
        </w:p>
      </w:tc>
    </w:tr>
    <w:tr w:rsidR="00C917D0">
      <w:trPr>
        <w:cantSplit/>
      </w:trPr>
      <w:tc>
        <w:tcPr>
          <w:tcW w:w="10080" w:type="dxa"/>
          <w:gridSpan w:val="9"/>
        </w:tcPr>
        <w:p w:rsidR="00C917D0" w:rsidRDefault="00F51002">
          <w:pPr>
            <w:jc w:val="center"/>
            <w:rPr>
              <w:rFonts w:ascii="EB Garamond" w:eastAsia="EB Garamond" w:hAnsi="EB Garamond" w:cs="EB Garamond"/>
              <w:b/>
              <w:color w:val="008000"/>
            </w:rPr>
          </w:pPr>
          <w:r>
            <w:rPr>
              <w:rFonts w:ascii="EB Garamond" w:eastAsia="EB Garamond" w:hAnsi="EB Garamond" w:cs="EB Garamond"/>
              <w:b/>
              <w:color w:val="008000"/>
            </w:rPr>
            <w:t xml:space="preserve">Scuola d’Arte Applicata “Andrea </w:t>
          </w:r>
          <w:proofErr w:type="spellStart"/>
          <w:r>
            <w:rPr>
              <w:rFonts w:ascii="EB Garamond" w:eastAsia="EB Garamond" w:hAnsi="EB Garamond" w:cs="EB Garamond"/>
              <w:b/>
              <w:color w:val="008000"/>
            </w:rPr>
            <w:t>Fantoni</w:t>
          </w:r>
          <w:proofErr w:type="spellEnd"/>
          <w:r>
            <w:rPr>
              <w:rFonts w:ascii="EB Garamond" w:eastAsia="EB Garamond" w:hAnsi="EB Garamond" w:cs="EB Garamond"/>
              <w:b/>
              <w:color w:val="008000"/>
            </w:rPr>
            <w:t>”</w:t>
          </w:r>
        </w:p>
      </w:tc>
    </w:tr>
    <w:tr w:rsidR="00C917D0">
      <w:trPr>
        <w:cantSplit/>
        <w:trHeight w:val="113"/>
      </w:trPr>
      <w:tc>
        <w:tcPr>
          <w:tcW w:w="3369" w:type="dxa"/>
          <w:gridSpan w:val="2"/>
          <w:tcBorders>
            <w:bottom w:val="single" w:sz="12" w:space="0" w:color="008000"/>
          </w:tcBorders>
        </w:tcPr>
        <w:p w:rsidR="00C917D0" w:rsidRDefault="00C917D0">
          <w:pPr>
            <w:rPr>
              <w:rFonts w:ascii="Tahoma" w:eastAsia="Tahoma" w:hAnsi="Tahoma" w:cs="Tahoma"/>
              <w:sz w:val="22"/>
              <w:szCs w:val="22"/>
            </w:rPr>
          </w:pPr>
        </w:p>
      </w:tc>
      <w:tc>
        <w:tcPr>
          <w:tcW w:w="3259" w:type="dxa"/>
          <w:gridSpan w:val="4"/>
          <w:vMerge w:val="restart"/>
          <w:vAlign w:val="center"/>
        </w:tcPr>
        <w:p w:rsidR="00C917D0" w:rsidRDefault="00F51002">
          <w:pPr>
            <w:pStyle w:val="Titolo5"/>
            <w:jc w:val="center"/>
            <w:rPr>
              <w:color w:val="008000"/>
            </w:rPr>
          </w:pPr>
          <w:r>
            <w:rPr>
              <w:color w:val="008000"/>
            </w:rPr>
            <w:t>Fondata nel 1898 – Ente Morale</w:t>
          </w:r>
        </w:p>
      </w:tc>
      <w:tc>
        <w:tcPr>
          <w:tcW w:w="3452" w:type="dxa"/>
          <w:gridSpan w:val="3"/>
          <w:tcBorders>
            <w:bottom w:val="single" w:sz="12" w:space="0" w:color="008000"/>
          </w:tcBorders>
        </w:tcPr>
        <w:p w:rsidR="00C917D0" w:rsidRDefault="00C917D0">
          <w:pPr>
            <w:rPr>
              <w:rFonts w:ascii="Tahoma" w:eastAsia="Tahoma" w:hAnsi="Tahoma" w:cs="Tahoma"/>
              <w:sz w:val="22"/>
              <w:szCs w:val="22"/>
            </w:rPr>
          </w:pPr>
        </w:p>
      </w:tc>
    </w:tr>
    <w:tr w:rsidR="00C917D0">
      <w:trPr>
        <w:cantSplit/>
        <w:trHeight w:val="113"/>
      </w:trPr>
      <w:tc>
        <w:tcPr>
          <w:tcW w:w="3369" w:type="dxa"/>
          <w:gridSpan w:val="2"/>
          <w:tcBorders>
            <w:top w:val="single" w:sz="12" w:space="0" w:color="008000"/>
          </w:tcBorders>
        </w:tcPr>
        <w:p w:rsidR="00C917D0" w:rsidRDefault="00C917D0">
          <w:pPr>
            <w:rPr>
              <w:rFonts w:ascii="Tahoma" w:eastAsia="Tahoma" w:hAnsi="Tahoma" w:cs="Tahoma"/>
              <w:sz w:val="22"/>
              <w:szCs w:val="22"/>
            </w:rPr>
          </w:pPr>
        </w:p>
      </w:tc>
      <w:tc>
        <w:tcPr>
          <w:tcW w:w="3259" w:type="dxa"/>
          <w:gridSpan w:val="4"/>
          <w:vMerge/>
          <w:vAlign w:val="center"/>
        </w:tcPr>
        <w:p w:rsidR="00C917D0" w:rsidRDefault="00C917D0">
          <w:pPr>
            <w:widowControl w:val="0"/>
            <w:pBdr>
              <w:top w:val="nil"/>
              <w:left w:val="nil"/>
              <w:bottom w:val="nil"/>
              <w:right w:val="nil"/>
              <w:between w:val="nil"/>
            </w:pBdr>
            <w:spacing w:line="276" w:lineRule="auto"/>
            <w:rPr>
              <w:rFonts w:ascii="Tahoma" w:eastAsia="Tahoma" w:hAnsi="Tahoma" w:cs="Tahoma"/>
              <w:sz w:val="22"/>
              <w:szCs w:val="22"/>
            </w:rPr>
          </w:pPr>
        </w:p>
      </w:tc>
      <w:tc>
        <w:tcPr>
          <w:tcW w:w="3452" w:type="dxa"/>
          <w:gridSpan w:val="3"/>
        </w:tcPr>
        <w:p w:rsidR="00C917D0" w:rsidRDefault="00C917D0">
          <w:pPr>
            <w:rPr>
              <w:rFonts w:ascii="Tahoma" w:eastAsia="Tahoma" w:hAnsi="Tahoma" w:cs="Tahoma"/>
              <w:sz w:val="22"/>
              <w:szCs w:val="22"/>
            </w:rPr>
          </w:pPr>
        </w:p>
      </w:tc>
    </w:tr>
    <w:tr w:rsidR="00C917D0">
      <w:trPr>
        <w:cantSplit/>
        <w:trHeight w:val="694"/>
      </w:trPr>
      <w:tc>
        <w:tcPr>
          <w:tcW w:w="4422" w:type="dxa"/>
          <w:gridSpan w:val="4"/>
          <w:vAlign w:val="center"/>
        </w:tcPr>
        <w:p w:rsidR="00C917D0" w:rsidRDefault="00F51002">
          <w:pPr>
            <w:jc w:val="center"/>
            <w:rPr>
              <w:rFonts w:ascii="EB Garamond" w:eastAsia="EB Garamond" w:hAnsi="EB Garamond" w:cs="EB Garamond"/>
              <w:b/>
              <w:color w:val="008000"/>
              <w:sz w:val="22"/>
              <w:szCs w:val="22"/>
            </w:rPr>
          </w:pPr>
          <w:r>
            <w:rPr>
              <w:rFonts w:ascii="EB Garamond" w:eastAsia="EB Garamond" w:hAnsi="EB Garamond" w:cs="EB Garamond"/>
              <w:b/>
              <w:color w:val="008000"/>
              <w:sz w:val="22"/>
              <w:szCs w:val="22"/>
            </w:rPr>
            <w:t>Centro di Formazione Professionale</w:t>
          </w:r>
        </w:p>
      </w:tc>
      <w:tc>
        <w:tcPr>
          <w:tcW w:w="1092" w:type="dxa"/>
          <w:vMerge w:val="restart"/>
          <w:vAlign w:val="center"/>
        </w:tcPr>
        <w:p w:rsidR="00C917D0" w:rsidRDefault="00F51002">
          <w:pPr>
            <w:jc w:val="center"/>
            <w:rPr>
              <w:rFonts w:ascii="EB Garamond" w:eastAsia="EB Garamond" w:hAnsi="EB Garamond" w:cs="EB Garamond"/>
              <w:b/>
              <w:color w:val="008000"/>
              <w:sz w:val="22"/>
              <w:szCs w:val="22"/>
            </w:rPr>
          </w:pPr>
          <w:r>
            <w:rPr>
              <w:rFonts w:ascii="Tahoma" w:eastAsia="Tahoma" w:hAnsi="Tahoma" w:cs="Tahoma"/>
              <w:noProof/>
              <w:sz w:val="22"/>
              <w:szCs w:val="22"/>
            </w:rPr>
            <w:drawing>
              <wp:inline distT="0" distB="0" distL="0" distR="0">
                <wp:extent cx="434975" cy="532130"/>
                <wp:effectExtent l="0" t="0" r="0" b="0"/>
                <wp:docPr id="1" name="image1.jpg" descr="logo fantoni"/>
                <wp:cNvGraphicFramePr/>
                <a:graphic xmlns:a="http://schemas.openxmlformats.org/drawingml/2006/main">
                  <a:graphicData uri="http://schemas.openxmlformats.org/drawingml/2006/picture">
                    <pic:pic xmlns:pic="http://schemas.openxmlformats.org/drawingml/2006/picture">
                      <pic:nvPicPr>
                        <pic:cNvPr id="0" name="image1.jpg" descr="logo fantoni"/>
                        <pic:cNvPicPr preferRelativeResize="0"/>
                      </pic:nvPicPr>
                      <pic:blipFill>
                        <a:blip r:embed="rId1"/>
                        <a:srcRect/>
                        <a:stretch>
                          <a:fillRect/>
                        </a:stretch>
                      </pic:blipFill>
                      <pic:spPr>
                        <a:xfrm>
                          <a:off x="0" y="0"/>
                          <a:ext cx="434975" cy="532130"/>
                        </a:xfrm>
                        <a:prstGeom prst="rect">
                          <a:avLst/>
                        </a:prstGeom>
                        <a:ln/>
                      </pic:spPr>
                    </pic:pic>
                  </a:graphicData>
                </a:graphic>
              </wp:inline>
            </w:drawing>
          </w:r>
        </w:p>
      </w:tc>
      <w:tc>
        <w:tcPr>
          <w:tcW w:w="4566" w:type="dxa"/>
          <w:gridSpan w:val="4"/>
          <w:vAlign w:val="center"/>
        </w:tcPr>
        <w:p w:rsidR="00C917D0" w:rsidRDefault="00F51002">
          <w:pPr>
            <w:jc w:val="center"/>
            <w:rPr>
              <w:rFonts w:ascii="EB Garamond" w:eastAsia="EB Garamond" w:hAnsi="EB Garamond" w:cs="EB Garamond"/>
              <w:b/>
              <w:color w:val="008000"/>
              <w:sz w:val="22"/>
              <w:szCs w:val="22"/>
            </w:rPr>
          </w:pPr>
          <w:r>
            <w:rPr>
              <w:rFonts w:ascii="EB Garamond" w:eastAsia="EB Garamond" w:hAnsi="EB Garamond" w:cs="EB Garamond"/>
              <w:b/>
              <w:color w:val="008000"/>
              <w:sz w:val="22"/>
              <w:szCs w:val="22"/>
            </w:rPr>
            <w:t xml:space="preserve">Liceo Artistico – </w:t>
          </w:r>
          <w:r>
            <w:rPr>
              <w:rFonts w:ascii="EB Garamond" w:eastAsia="EB Garamond" w:hAnsi="EB Garamond" w:cs="EB Garamond"/>
              <w:b/>
              <w:color w:val="008000"/>
              <w:sz w:val="18"/>
              <w:szCs w:val="18"/>
            </w:rPr>
            <w:t xml:space="preserve">Arti figurative, Architettura e ambiente </w:t>
          </w:r>
        </w:p>
      </w:tc>
    </w:tr>
    <w:tr w:rsidR="00C917D0">
      <w:trPr>
        <w:cantSplit/>
        <w:trHeight w:val="79"/>
      </w:trPr>
      <w:tc>
        <w:tcPr>
          <w:tcW w:w="900" w:type="dxa"/>
          <w:tcBorders>
            <w:bottom w:val="single" w:sz="12" w:space="0" w:color="008000"/>
          </w:tcBorders>
        </w:tcPr>
        <w:p w:rsidR="00C917D0" w:rsidRDefault="00C917D0">
          <w:pPr>
            <w:pStyle w:val="Titolo5"/>
            <w:jc w:val="center"/>
            <w:rPr>
              <w:color w:val="008000"/>
            </w:rPr>
          </w:pPr>
        </w:p>
      </w:tc>
      <w:tc>
        <w:tcPr>
          <w:tcW w:w="2623" w:type="dxa"/>
          <w:gridSpan w:val="2"/>
          <w:vMerge w:val="restart"/>
          <w:vAlign w:val="bottom"/>
        </w:tcPr>
        <w:p w:rsidR="00C917D0" w:rsidRDefault="00F51002">
          <w:pPr>
            <w:pStyle w:val="Titolo5"/>
            <w:jc w:val="center"/>
            <w:rPr>
              <w:color w:val="008000"/>
            </w:rPr>
          </w:pPr>
          <w:r>
            <w:rPr>
              <w:color w:val="008000"/>
            </w:rPr>
            <w:t>Accreditato dalla Regione Lombardia</w:t>
          </w:r>
        </w:p>
      </w:tc>
      <w:tc>
        <w:tcPr>
          <w:tcW w:w="899" w:type="dxa"/>
          <w:tcBorders>
            <w:bottom w:val="single" w:sz="12" w:space="0" w:color="008000"/>
          </w:tcBorders>
        </w:tcPr>
        <w:p w:rsidR="00C917D0" w:rsidRDefault="00C917D0">
          <w:pPr>
            <w:rPr>
              <w:rFonts w:ascii="Tahoma" w:eastAsia="Tahoma" w:hAnsi="Tahoma" w:cs="Tahoma"/>
              <w:sz w:val="22"/>
              <w:szCs w:val="22"/>
            </w:rPr>
          </w:pPr>
        </w:p>
      </w:tc>
      <w:tc>
        <w:tcPr>
          <w:tcW w:w="1092" w:type="dxa"/>
          <w:vMerge/>
          <w:vAlign w:val="center"/>
        </w:tcPr>
        <w:p w:rsidR="00C917D0" w:rsidRDefault="00C917D0">
          <w:pPr>
            <w:widowControl w:val="0"/>
            <w:pBdr>
              <w:top w:val="nil"/>
              <w:left w:val="nil"/>
              <w:bottom w:val="nil"/>
              <w:right w:val="nil"/>
              <w:between w:val="nil"/>
            </w:pBdr>
            <w:spacing w:line="276" w:lineRule="auto"/>
            <w:rPr>
              <w:rFonts w:ascii="Tahoma" w:eastAsia="Tahoma" w:hAnsi="Tahoma" w:cs="Tahoma"/>
              <w:sz w:val="22"/>
              <w:szCs w:val="22"/>
            </w:rPr>
          </w:pPr>
        </w:p>
      </w:tc>
      <w:tc>
        <w:tcPr>
          <w:tcW w:w="1833" w:type="dxa"/>
          <w:gridSpan w:val="2"/>
          <w:tcBorders>
            <w:bottom w:val="single" w:sz="12" w:space="0" w:color="008000"/>
          </w:tcBorders>
        </w:tcPr>
        <w:p w:rsidR="00C917D0" w:rsidRDefault="00C917D0">
          <w:pPr>
            <w:rPr>
              <w:rFonts w:ascii="Tahoma" w:eastAsia="Tahoma" w:hAnsi="Tahoma" w:cs="Tahoma"/>
              <w:sz w:val="22"/>
              <w:szCs w:val="22"/>
            </w:rPr>
          </w:pPr>
        </w:p>
      </w:tc>
      <w:tc>
        <w:tcPr>
          <w:tcW w:w="784" w:type="dxa"/>
          <w:vMerge w:val="restart"/>
        </w:tcPr>
        <w:p w:rsidR="00C917D0" w:rsidRDefault="00F51002">
          <w:pPr>
            <w:pStyle w:val="Titolo6"/>
            <w:rPr>
              <w:color w:val="008000"/>
            </w:rPr>
          </w:pPr>
          <w:r>
            <w:rPr>
              <w:color w:val="008000"/>
            </w:rPr>
            <w:t>Paritario</w:t>
          </w:r>
        </w:p>
      </w:tc>
      <w:tc>
        <w:tcPr>
          <w:tcW w:w="1949" w:type="dxa"/>
          <w:tcBorders>
            <w:bottom w:val="single" w:sz="12" w:space="0" w:color="008000"/>
          </w:tcBorders>
        </w:tcPr>
        <w:p w:rsidR="00C917D0" w:rsidRDefault="00C917D0">
          <w:pPr>
            <w:rPr>
              <w:rFonts w:ascii="Tahoma" w:eastAsia="Tahoma" w:hAnsi="Tahoma" w:cs="Tahoma"/>
              <w:sz w:val="22"/>
              <w:szCs w:val="22"/>
            </w:rPr>
          </w:pPr>
        </w:p>
      </w:tc>
    </w:tr>
    <w:tr w:rsidR="00C917D0">
      <w:trPr>
        <w:cantSplit/>
        <w:trHeight w:val="113"/>
      </w:trPr>
      <w:tc>
        <w:tcPr>
          <w:tcW w:w="900" w:type="dxa"/>
          <w:tcBorders>
            <w:top w:val="single" w:sz="12" w:space="0" w:color="008000"/>
          </w:tcBorders>
        </w:tcPr>
        <w:p w:rsidR="00C917D0" w:rsidRDefault="00C917D0">
          <w:pPr>
            <w:rPr>
              <w:rFonts w:ascii="Tahoma" w:eastAsia="Tahoma" w:hAnsi="Tahoma" w:cs="Tahoma"/>
              <w:sz w:val="22"/>
              <w:szCs w:val="22"/>
            </w:rPr>
          </w:pPr>
        </w:p>
      </w:tc>
      <w:tc>
        <w:tcPr>
          <w:tcW w:w="2623" w:type="dxa"/>
          <w:gridSpan w:val="2"/>
          <w:vMerge/>
          <w:vAlign w:val="bottom"/>
        </w:tcPr>
        <w:p w:rsidR="00C917D0" w:rsidRDefault="00C917D0">
          <w:pPr>
            <w:widowControl w:val="0"/>
            <w:pBdr>
              <w:top w:val="nil"/>
              <w:left w:val="nil"/>
              <w:bottom w:val="nil"/>
              <w:right w:val="nil"/>
              <w:between w:val="nil"/>
            </w:pBdr>
            <w:spacing w:line="276" w:lineRule="auto"/>
            <w:rPr>
              <w:rFonts w:ascii="Tahoma" w:eastAsia="Tahoma" w:hAnsi="Tahoma" w:cs="Tahoma"/>
              <w:sz w:val="22"/>
              <w:szCs w:val="22"/>
            </w:rPr>
          </w:pPr>
        </w:p>
      </w:tc>
      <w:tc>
        <w:tcPr>
          <w:tcW w:w="899" w:type="dxa"/>
          <w:tcBorders>
            <w:top w:val="single" w:sz="12" w:space="0" w:color="008000"/>
          </w:tcBorders>
        </w:tcPr>
        <w:p w:rsidR="00C917D0" w:rsidRDefault="00C917D0">
          <w:pPr>
            <w:rPr>
              <w:rFonts w:ascii="Tahoma" w:eastAsia="Tahoma" w:hAnsi="Tahoma" w:cs="Tahoma"/>
              <w:sz w:val="22"/>
              <w:szCs w:val="22"/>
            </w:rPr>
          </w:pPr>
        </w:p>
      </w:tc>
      <w:tc>
        <w:tcPr>
          <w:tcW w:w="1092" w:type="dxa"/>
          <w:vMerge/>
          <w:vAlign w:val="center"/>
        </w:tcPr>
        <w:p w:rsidR="00C917D0" w:rsidRDefault="00C917D0">
          <w:pPr>
            <w:widowControl w:val="0"/>
            <w:pBdr>
              <w:top w:val="nil"/>
              <w:left w:val="nil"/>
              <w:bottom w:val="nil"/>
              <w:right w:val="nil"/>
              <w:between w:val="nil"/>
            </w:pBdr>
            <w:spacing w:line="276" w:lineRule="auto"/>
            <w:rPr>
              <w:rFonts w:ascii="Tahoma" w:eastAsia="Tahoma" w:hAnsi="Tahoma" w:cs="Tahoma"/>
              <w:sz w:val="22"/>
              <w:szCs w:val="22"/>
            </w:rPr>
          </w:pPr>
        </w:p>
      </w:tc>
      <w:tc>
        <w:tcPr>
          <w:tcW w:w="1833" w:type="dxa"/>
          <w:gridSpan w:val="2"/>
          <w:tcBorders>
            <w:top w:val="single" w:sz="12" w:space="0" w:color="008000"/>
          </w:tcBorders>
        </w:tcPr>
        <w:p w:rsidR="00C917D0" w:rsidRDefault="00C917D0">
          <w:pPr>
            <w:rPr>
              <w:rFonts w:ascii="Tahoma" w:eastAsia="Tahoma" w:hAnsi="Tahoma" w:cs="Tahoma"/>
              <w:sz w:val="22"/>
              <w:szCs w:val="22"/>
            </w:rPr>
          </w:pPr>
        </w:p>
      </w:tc>
      <w:tc>
        <w:tcPr>
          <w:tcW w:w="784" w:type="dxa"/>
          <w:vMerge/>
        </w:tcPr>
        <w:p w:rsidR="00C917D0" w:rsidRDefault="00C917D0">
          <w:pPr>
            <w:widowControl w:val="0"/>
            <w:pBdr>
              <w:top w:val="nil"/>
              <w:left w:val="nil"/>
              <w:bottom w:val="nil"/>
              <w:right w:val="nil"/>
              <w:between w:val="nil"/>
            </w:pBdr>
            <w:spacing w:line="276" w:lineRule="auto"/>
            <w:rPr>
              <w:rFonts w:ascii="Tahoma" w:eastAsia="Tahoma" w:hAnsi="Tahoma" w:cs="Tahoma"/>
              <w:sz w:val="22"/>
              <w:szCs w:val="22"/>
            </w:rPr>
          </w:pPr>
        </w:p>
      </w:tc>
      <w:tc>
        <w:tcPr>
          <w:tcW w:w="1949" w:type="dxa"/>
        </w:tcPr>
        <w:p w:rsidR="00C917D0" w:rsidRDefault="00C917D0">
          <w:pPr>
            <w:rPr>
              <w:rFonts w:ascii="Tahoma" w:eastAsia="Tahoma" w:hAnsi="Tahoma" w:cs="Tahoma"/>
              <w:sz w:val="22"/>
              <w:szCs w:val="22"/>
            </w:rPr>
          </w:pPr>
        </w:p>
      </w:tc>
    </w:tr>
  </w:tbl>
  <w:p w:rsidR="00C917D0" w:rsidRDefault="00C917D0">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D0"/>
    <w:rsid w:val="002A4F02"/>
    <w:rsid w:val="00794045"/>
    <w:rsid w:val="008D6A9F"/>
    <w:rsid w:val="0097710D"/>
    <w:rsid w:val="009E1E46"/>
    <w:rsid w:val="00A04F17"/>
    <w:rsid w:val="00B02F10"/>
    <w:rsid w:val="00B139AD"/>
    <w:rsid w:val="00C917D0"/>
    <w:rsid w:val="00DE6403"/>
    <w:rsid w:val="00F51002"/>
    <w:rsid w:val="00F76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0C5F"/>
  <w15:docId w15:val="{66D7DEEB-C24B-4207-A7C1-CCC91AB0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200"/>
      <w:outlineLvl w:val="1"/>
    </w:pPr>
    <w:rPr>
      <w:rFonts w:ascii="Cambria" w:eastAsia="Cambria" w:hAnsi="Cambria" w:cs="Cambria"/>
      <w:b/>
      <w:color w:val="4F81BD"/>
      <w:sz w:val="26"/>
      <w:szCs w:val="2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outlineLvl w:val="4"/>
    </w:pPr>
    <w:rPr>
      <w:rFonts w:ascii="EB Garamond" w:eastAsia="EB Garamond" w:hAnsi="EB Garamond" w:cs="EB Garamond"/>
      <w:b/>
      <w:i/>
      <w:sz w:val="16"/>
      <w:szCs w:val="16"/>
    </w:rPr>
  </w:style>
  <w:style w:type="paragraph" w:styleId="Titolo6">
    <w:name w:val="heading 6"/>
    <w:basedOn w:val="Normale"/>
    <w:next w:val="Normale"/>
    <w:pPr>
      <w:keepNext/>
      <w:jc w:val="center"/>
      <w:outlineLvl w:val="5"/>
    </w:pPr>
    <w:rPr>
      <w:rFonts w:ascii="EB Garamond" w:eastAsia="EB Garamond" w:hAnsi="EB Garamond" w:cs="EB Garamond"/>
      <w:b/>
      <w:i/>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956</Words>
  <Characters>5451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clelia</cp:lastModifiedBy>
  <cp:revision>7</cp:revision>
  <dcterms:created xsi:type="dcterms:W3CDTF">2022-09-07T13:08:00Z</dcterms:created>
  <dcterms:modified xsi:type="dcterms:W3CDTF">2022-09-08T13:39:00Z</dcterms:modified>
</cp:coreProperties>
</file>