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ALCIATI PER LUZZATI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Lele dalla memoria al futuro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”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Sar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inaugurata domenica 19 gennaio alle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10:30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presso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Palazzo Paleologo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, 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Trino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(VC)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, la mostra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Alciati per Luzzati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Lele dalla memoria al futuro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”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,  un omaggio del Liceo Artistico 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Ambrogio Alciati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 xml:space="preserve">”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di Trino all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artista genovese Emanuele Luzzati, due volte candidato al Premio Oscar per i film di animazione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La gazza ladra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 xml:space="preserve">”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 xml:space="preserve">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Pulcinella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”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 xml:space="preserve">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La mostra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è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curata dalla prof.ssa Marina Saettone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(Liceo Artistico)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e da Pier Franco Irico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(A.N.P.I.)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, nonch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>é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dal gruppo di progetto del Liceo Artistico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Alciati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”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di Trino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(sezione staccata dell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IIS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Lagrangia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”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di Vercelli, diretto dal dott. Giuseppe Graziano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): i proff. Vito Iovino, Monica Falcone, Antonio Bordonaro.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L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evento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è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patrocinato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d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l Comune di Trino, d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lla Fondazione Arte, Storia e Cultura Ebraica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Casale Monferrato e nel Piemonte Orientale, d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ll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 A.N.P.I.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di Trino e d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gli Istituti Comprensivi di Trino, Crescentino e Cerrina-Pontestura.  Il corpus di opere in mostra si compone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di circa 80 lavori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di Lele Luzzati,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in parte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concess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i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dalla Fondazione Arte, Storia e Cultura Ebraica di Casale Monferrato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in parte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pervenut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i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grazie alle Biblioteche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Civiche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di Trino, Casale Monferrato e Torino. Le opere in mostra ripercorrono la carriera d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artista di una delle figure pi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ù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poliedriche dell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arte contemporanea italiana, spaziando dal ciclo dei Mesi, al ciclo del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Viaggio alla citt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di Safed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”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, ai famosissimi libri illustrati.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 xml:space="preserve">evento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sar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à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inaugurato da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una conferenza alle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10:30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alla presenza dei curatori, dell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mministrazione comunale, di Elio Carmi del Museo di storia e arte ebraica di Casale Monferrato, di Delia Tedeschi, cugina dell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artista, di Sergio Noberini, curatore storico delle opere di Emanuele Luzzati e del gruppo di progetto del Liceo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Alciati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”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La mostra comprender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à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anche gli elaborati prodotti dagli studenti del Liceo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Alciati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”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,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come punto di arrivo di un percorso di ricerca e studio progettuale sulla figura del grande illustratore e scenografo italiano.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Infine, saranno esposte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le prove grafiche e di scrittura creativa realizzate dagli allievi degli Istituti comprensivi del territorio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, nel corso dei laboratori didattici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a cura del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prof. Gerardo di Feo e d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e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gli studenti dell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de-DE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Alciati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”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. Alcuni lavori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saranno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>presentati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 nei teatrini in legno Kamishibai, all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interno della sezione didattica dell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esposizione.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A chiudere i lavori domenica 26 gennaio alle </w:t>
      </w:r>
      <w:r>
        <w:rPr>
          <w:rFonts w:ascii="Times New Roman" w:cs="Times New Roman" w:hAnsi="Times New Roman" w:eastAsia="Times New Roman"/>
          <w:sz w:val="24"/>
          <w:szCs w:val="24"/>
          <w:u w:color="ff0000"/>
          <w:rtl w:val="0"/>
          <w:lang w:val="it-IT"/>
        </w:rPr>
        <w:t xml:space="preserve">10:30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una conferenza di presentazione del libro di Pier Franco Irico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“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Il letto a baldacchino, la valigia per l'Isvizzera e il carro armato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 xml:space="preserve">”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sugli anni svizzeri dell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 xml:space="preserve">’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alessandrino Peppino Vitale per evitare il lager dopo l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>’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8 settembre 1943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 xml:space="preserve">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La mostra sar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>visitabile dal 19 gennaio al 26 gennaio 2020 il sabato e la domenica dalle 10:30 alle 12:30 e dalle 15:30 alle 17:30 e in settimana previa prenotazione contattando il Liceo artistico di Trino Vercellese al numero 0161 801435.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